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498E" w14:textId="77777777" w:rsidR="00F6513B" w:rsidRPr="00F6513B" w:rsidRDefault="00F3086A" w:rsidP="00F651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GUIDANCE: </w:t>
      </w:r>
      <w:r w:rsidR="00F6513B" w:rsidRPr="00F6513B">
        <w:rPr>
          <w:b/>
          <w:sz w:val="32"/>
          <w:szCs w:val="32"/>
        </w:rPr>
        <w:t xml:space="preserve">MEDICATION INCIDENTS AND SAFEGUARDING </w:t>
      </w:r>
    </w:p>
    <w:p w14:paraId="1893B976" w14:textId="77777777" w:rsidR="00F6513B" w:rsidRPr="00F6513B" w:rsidRDefault="00F6513B" w:rsidP="00D452E7">
      <w:r w:rsidRPr="00F6513B">
        <w:t xml:space="preserve">Most isolated medication incidents, including where a person misses or receives the wrong medication, will not constitute abuse or neglect and will be more appropriately dealt with outside safeguarding procedures, though e.g. quality, safety or complaints routes. </w:t>
      </w:r>
    </w:p>
    <w:p w14:paraId="763E947E" w14:textId="77777777" w:rsidR="00F3086A" w:rsidRDefault="00F6513B" w:rsidP="00D452E7">
      <w:r w:rsidRPr="00F6513B">
        <w:t>Conversely, where there are concerns that the medication incident constitutes abuse or neglect, including gross negligence or intentional misuse of medication, then the local multiagency safeguarding adults pro</w:t>
      </w:r>
      <w:r w:rsidR="00F3086A">
        <w:t xml:space="preserve">cedures should also be followed, after taking any </w:t>
      </w:r>
      <w:r w:rsidRPr="00F6513B">
        <w:t xml:space="preserve">immediate action </w:t>
      </w:r>
      <w:r w:rsidR="00F3086A">
        <w:t>needed to minimise harm.</w:t>
      </w:r>
      <w:r w:rsidR="00D452E7">
        <w:t xml:space="preserve"> </w:t>
      </w:r>
    </w:p>
    <w:p w14:paraId="59D3A18E" w14:textId="77777777" w:rsidR="00F6513B" w:rsidRDefault="00D452E7" w:rsidP="00F6513B">
      <w:pPr>
        <w:rPr>
          <w:b/>
        </w:rPr>
      </w:pPr>
      <w:r>
        <w:t xml:space="preserve">In addition you </w:t>
      </w:r>
      <w:r w:rsidR="00F3086A">
        <w:t xml:space="preserve">may be required to </w:t>
      </w:r>
      <w:r>
        <w:t>report medication incidents to</w:t>
      </w:r>
      <w:r w:rsidR="00AF546F">
        <w:t xml:space="preserve"> e.g. the CQC or whoever commissions the service.  </w:t>
      </w:r>
      <w:r w:rsidR="00AF546F">
        <w:rPr>
          <w:b/>
        </w:rPr>
        <w:t xml:space="preserve">The </w:t>
      </w:r>
      <w:r w:rsidR="003363CE">
        <w:rPr>
          <w:b/>
        </w:rPr>
        <w:t xml:space="preserve">Bradford Medication Support Guidance for </w:t>
      </w:r>
      <w:r w:rsidR="00F6513B">
        <w:rPr>
          <w:b/>
        </w:rPr>
        <w:t>Care H</w:t>
      </w:r>
      <w:r w:rsidR="003363CE">
        <w:rPr>
          <w:b/>
        </w:rPr>
        <w:t>omes and Home Care organisations</w:t>
      </w:r>
      <w:r w:rsidR="00AF546F">
        <w:rPr>
          <w:b/>
        </w:rPr>
        <w:t xml:space="preserve"> provides useful further information. (Link) </w:t>
      </w:r>
    </w:p>
    <w:p w14:paraId="26E9A120" w14:textId="77777777" w:rsidR="00AF546F" w:rsidRDefault="00AF546F" w:rsidP="00F6513B">
      <w:pPr>
        <w:rPr>
          <w:b/>
        </w:rPr>
      </w:pPr>
      <w:r>
        <w:rPr>
          <w:b/>
        </w:rPr>
        <w:t xml:space="preserve">The following table gives </w:t>
      </w:r>
      <w:r w:rsidRPr="00794A2F">
        <w:rPr>
          <w:b/>
          <w:u w:val="single"/>
        </w:rPr>
        <w:t xml:space="preserve">examples </w:t>
      </w:r>
      <w:r>
        <w:rPr>
          <w:b/>
        </w:rPr>
        <w:t xml:space="preserve">of situations and </w:t>
      </w:r>
      <w:r w:rsidRPr="00794A2F">
        <w:rPr>
          <w:b/>
          <w:u w:val="single"/>
        </w:rPr>
        <w:t>suggested</w:t>
      </w:r>
      <w:r>
        <w:rPr>
          <w:b/>
        </w:rPr>
        <w:t xml:space="preserve"> responses (See overleaf for Key and further guidance)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2693"/>
        <w:gridCol w:w="3544"/>
        <w:gridCol w:w="2693"/>
      </w:tblGrid>
      <w:tr w:rsidR="00F6513B" w:rsidRPr="00F6513B" w14:paraId="0E8DA9D8" w14:textId="77777777" w:rsidTr="00F6513B">
        <w:tc>
          <w:tcPr>
            <w:tcW w:w="13858" w:type="dxa"/>
            <w:gridSpan w:val="5"/>
          </w:tcPr>
          <w:p w14:paraId="6BD7089D" w14:textId="77777777" w:rsidR="003363CE" w:rsidRDefault="003363CE" w:rsidP="00F6513B">
            <w:pPr>
              <w:rPr>
                <w:b/>
                <w:i/>
              </w:rPr>
            </w:pPr>
          </w:p>
          <w:p w14:paraId="33724D85" w14:textId="77777777" w:rsidR="00F6513B" w:rsidRPr="00296E88" w:rsidRDefault="00296E88" w:rsidP="00F6513B">
            <w:pPr>
              <w:rPr>
                <w:b/>
                <w:i/>
                <w:sz w:val="24"/>
                <w:szCs w:val="24"/>
              </w:rPr>
            </w:pPr>
            <w:r w:rsidRPr="00296E88">
              <w:rPr>
                <w:b/>
                <w:i/>
                <w:sz w:val="24"/>
                <w:szCs w:val="24"/>
              </w:rPr>
              <w:t xml:space="preserve">Medication issues: </w:t>
            </w:r>
            <w:r w:rsidR="00F6513B" w:rsidRPr="00296E88">
              <w:rPr>
                <w:b/>
                <w:i/>
                <w:sz w:val="24"/>
                <w:szCs w:val="24"/>
              </w:rPr>
              <w:t xml:space="preserve">Is it abuse or neglect </w:t>
            </w:r>
            <w:r w:rsidR="00F6513B" w:rsidRPr="00296E88">
              <w:rPr>
                <w:b/>
                <w:i/>
                <w:sz w:val="24"/>
                <w:szCs w:val="24"/>
                <w:u w:val="single"/>
              </w:rPr>
              <w:t>and need does it need reporting to the Local Authority safeguarding Adults team</w:t>
            </w:r>
            <w:r w:rsidR="00F6513B" w:rsidRPr="00296E88">
              <w:rPr>
                <w:b/>
                <w:i/>
                <w:sz w:val="24"/>
                <w:szCs w:val="24"/>
              </w:rPr>
              <w:t xml:space="preserve">?  </w:t>
            </w:r>
          </w:p>
          <w:p w14:paraId="4314C31B" w14:textId="77777777" w:rsidR="003363CE" w:rsidRPr="00F6513B" w:rsidRDefault="003363CE" w:rsidP="00F6513B">
            <w:pPr>
              <w:rPr>
                <w:b/>
                <w:i/>
              </w:rPr>
            </w:pPr>
          </w:p>
        </w:tc>
      </w:tr>
      <w:tr w:rsidR="00F6513B" w:rsidRPr="00F6513B" w14:paraId="712CA58B" w14:textId="77777777" w:rsidTr="003363CE">
        <w:trPr>
          <w:trHeight w:val="613"/>
        </w:trPr>
        <w:tc>
          <w:tcPr>
            <w:tcW w:w="2362" w:type="dxa"/>
          </w:tcPr>
          <w:p w14:paraId="6BB97E6F" w14:textId="77777777" w:rsidR="00F6513B" w:rsidRPr="00F6513B" w:rsidRDefault="00F6513B" w:rsidP="009D05D8">
            <w:pPr>
              <w:rPr>
                <w:b/>
                <w:i/>
              </w:rPr>
            </w:pPr>
          </w:p>
          <w:p w14:paraId="463466A7" w14:textId="77777777"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 xml:space="preserve">Unlikely </w:t>
            </w:r>
          </w:p>
        </w:tc>
        <w:tc>
          <w:tcPr>
            <w:tcW w:w="2566" w:type="dxa"/>
          </w:tcPr>
          <w:p w14:paraId="6352F819" w14:textId="77777777" w:rsidR="00F6513B" w:rsidRPr="00F6513B" w:rsidRDefault="00F6513B" w:rsidP="009D05D8">
            <w:pPr>
              <w:rPr>
                <w:b/>
                <w:i/>
              </w:rPr>
            </w:pPr>
          </w:p>
          <w:p w14:paraId="0104B259" w14:textId="77777777"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>Possibly</w:t>
            </w:r>
          </w:p>
        </w:tc>
        <w:tc>
          <w:tcPr>
            <w:tcW w:w="2693" w:type="dxa"/>
          </w:tcPr>
          <w:p w14:paraId="2C3ABCF3" w14:textId="77777777" w:rsidR="00F6513B" w:rsidRPr="00F6513B" w:rsidRDefault="00F6513B" w:rsidP="009D05D8">
            <w:pPr>
              <w:rPr>
                <w:b/>
                <w:i/>
              </w:rPr>
            </w:pPr>
          </w:p>
          <w:p w14:paraId="646F8E18" w14:textId="77777777"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>Probably</w:t>
            </w:r>
          </w:p>
          <w:p w14:paraId="26AB0F91" w14:textId="77777777" w:rsidR="00F6513B" w:rsidRPr="00F6513B" w:rsidRDefault="00F6513B" w:rsidP="009D05D8">
            <w:pPr>
              <w:rPr>
                <w:b/>
                <w:i/>
              </w:rPr>
            </w:pPr>
          </w:p>
        </w:tc>
        <w:tc>
          <w:tcPr>
            <w:tcW w:w="3544" w:type="dxa"/>
          </w:tcPr>
          <w:p w14:paraId="0B80EB92" w14:textId="77777777" w:rsidR="00F6513B" w:rsidRPr="00F6513B" w:rsidRDefault="00F6513B" w:rsidP="009D05D8">
            <w:pPr>
              <w:rPr>
                <w:b/>
                <w:i/>
              </w:rPr>
            </w:pPr>
          </w:p>
          <w:p w14:paraId="6BD9F4DC" w14:textId="77777777" w:rsidR="00F6513B" w:rsidRPr="00F6513B" w:rsidRDefault="00F6513B" w:rsidP="009D05D8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>Definitely</w:t>
            </w:r>
          </w:p>
        </w:tc>
        <w:tc>
          <w:tcPr>
            <w:tcW w:w="2693" w:type="dxa"/>
          </w:tcPr>
          <w:p w14:paraId="23939E4D" w14:textId="77777777" w:rsidR="00F6513B" w:rsidRPr="00F6513B" w:rsidRDefault="00F6513B" w:rsidP="00794A2F">
            <w:pPr>
              <w:rPr>
                <w:b/>
                <w:i/>
              </w:rPr>
            </w:pPr>
            <w:r w:rsidRPr="00F6513B">
              <w:rPr>
                <w:b/>
                <w:i/>
              </w:rPr>
              <w:t xml:space="preserve">Definitely </w:t>
            </w:r>
            <w:r w:rsidR="00794A2F">
              <w:rPr>
                <w:b/>
                <w:i/>
              </w:rPr>
              <w:t>&amp; Consider Safeguarding Adults Review</w:t>
            </w:r>
          </w:p>
        </w:tc>
      </w:tr>
      <w:tr w:rsidR="00F6513B" w:rsidRPr="00F6513B" w14:paraId="4B862084" w14:textId="77777777" w:rsidTr="00F6513B">
        <w:tc>
          <w:tcPr>
            <w:tcW w:w="2362" w:type="dxa"/>
          </w:tcPr>
          <w:p w14:paraId="58D7C0D4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Isolated prescribing or dispensing error(s)  not leading to mal-administration</w:t>
            </w:r>
          </w:p>
          <w:p w14:paraId="680D5E41" w14:textId="77777777" w:rsidR="00F6513B" w:rsidRPr="00F6513B" w:rsidRDefault="00F6513B" w:rsidP="00B9508A">
            <w:pPr>
              <w:rPr>
                <w:i/>
              </w:rPr>
            </w:pPr>
          </w:p>
          <w:p w14:paraId="63E5CA43" w14:textId="77777777" w:rsidR="00F6513B" w:rsidRPr="00F6513B" w:rsidRDefault="00F6513B" w:rsidP="00B9508A">
            <w:pPr>
              <w:rPr>
                <w:i/>
              </w:rPr>
            </w:pPr>
          </w:p>
          <w:p w14:paraId="018D66B4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Isolated medication administration error(s), including, missing, wrong dose, time or person.</w:t>
            </w:r>
          </w:p>
        </w:tc>
        <w:tc>
          <w:tcPr>
            <w:tcW w:w="2566" w:type="dxa"/>
          </w:tcPr>
          <w:p w14:paraId="28A9AC42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Re-occurring prescribing or dispensing error(s) not leading to mal-administration.</w:t>
            </w:r>
          </w:p>
          <w:p w14:paraId="1042218B" w14:textId="77777777" w:rsidR="00F6513B" w:rsidRPr="00F6513B" w:rsidRDefault="00F6513B" w:rsidP="00B9508A">
            <w:pPr>
              <w:rPr>
                <w:i/>
              </w:rPr>
            </w:pPr>
          </w:p>
          <w:p w14:paraId="540D8E00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Reoccurring medication administration error(s), including, missing, wrong dose, time or person.</w:t>
            </w:r>
          </w:p>
          <w:p w14:paraId="270D768C" w14:textId="77777777" w:rsidR="00F6513B" w:rsidRPr="00F6513B" w:rsidRDefault="00F6513B" w:rsidP="00B9508A">
            <w:pPr>
              <w:rPr>
                <w:i/>
              </w:rPr>
            </w:pPr>
          </w:p>
          <w:p w14:paraId="4A89A13D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Failing to report prescribing and dispensing errors by self or others </w:t>
            </w:r>
          </w:p>
          <w:p w14:paraId="1CFB8CD6" w14:textId="77777777" w:rsidR="00F6513B" w:rsidRPr="00F6513B" w:rsidRDefault="00F6513B" w:rsidP="00B9508A">
            <w:pPr>
              <w:rPr>
                <w:i/>
              </w:rPr>
            </w:pPr>
          </w:p>
        </w:tc>
        <w:tc>
          <w:tcPr>
            <w:tcW w:w="2693" w:type="dxa"/>
          </w:tcPr>
          <w:p w14:paraId="7956A1E4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Covert (hiding) medication without documented best interest decision and agreed care plans? </w:t>
            </w:r>
          </w:p>
          <w:p w14:paraId="0B8D91DB" w14:textId="77777777" w:rsidR="00F6513B" w:rsidRPr="00F6513B" w:rsidRDefault="00F6513B" w:rsidP="00B9508A">
            <w:pPr>
              <w:rPr>
                <w:i/>
              </w:rPr>
            </w:pPr>
          </w:p>
          <w:p w14:paraId="512132EF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Failing to report or document a medicines administration error according to agency policy and procedure. </w:t>
            </w:r>
          </w:p>
          <w:p w14:paraId="01ABD365" w14:textId="77777777" w:rsidR="00F6513B" w:rsidRPr="00F6513B" w:rsidRDefault="00F6513B" w:rsidP="00B9508A">
            <w:pPr>
              <w:rPr>
                <w:i/>
              </w:rPr>
            </w:pPr>
          </w:p>
          <w:p w14:paraId="37D971A1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Failing to monitor or seek appropriate medical advice and support following medication error.</w:t>
            </w:r>
          </w:p>
        </w:tc>
        <w:tc>
          <w:tcPr>
            <w:tcW w:w="3544" w:type="dxa"/>
          </w:tcPr>
          <w:p w14:paraId="2BE90037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Widespread use of covert medication without personalised care plans and best interest decisions.</w:t>
            </w:r>
          </w:p>
          <w:p w14:paraId="24B9F67A" w14:textId="77777777" w:rsidR="00F6513B" w:rsidRPr="00F6513B" w:rsidRDefault="00F6513B" w:rsidP="00B9508A">
            <w:pPr>
              <w:rPr>
                <w:i/>
              </w:rPr>
            </w:pPr>
          </w:p>
          <w:p w14:paraId="0D317E84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Intentional misuse of medication by an individual, used to threaten, control or harm a person.</w:t>
            </w:r>
          </w:p>
          <w:p w14:paraId="3ECF3969" w14:textId="77777777" w:rsidR="00F6513B" w:rsidRPr="00F6513B" w:rsidRDefault="00F6513B" w:rsidP="00B9508A">
            <w:pPr>
              <w:rPr>
                <w:i/>
              </w:rPr>
            </w:pPr>
          </w:p>
          <w:p w14:paraId="2EDA5879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Deliberate falsification of medication records by an individual following an error </w:t>
            </w:r>
          </w:p>
          <w:p w14:paraId="0980DFF2" w14:textId="77777777" w:rsidR="00F6513B" w:rsidRPr="00F6513B" w:rsidRDefault="00F6513B" w:rsidP="00B9508A">
            <w:pPr>
              <w:rPr>
                <w:i/>
              </w:rPr>
            </w:pPr>
          </w:p>
          <w:p w14:paraId="301BED0E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Harm as a result of failure to seek appropriate medical advice and support following medication error.</w:t>
            </w:r>
          </w:p>
        </w:tc>
        <w:tc>
          <w:tcPr>
            <w:tcW w:w="2693" w:type="dxa"/>
          </w:tcPr>
          <w:p w14:paraId="3A61F705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Medication incident caused by gross neglect causing death or irreversible harm to a person.</w:t>
            </w:r>
          </w:p>
          <w:p w14:paraId="5B4E58DA" w14:textId="77777777" w:rsidR="00F6513B" w:rsidRPr="00F6513B" w:rsidRDefault="00F6513B" w:rsidP="00B9508A">
            <w:pPr>
              <w:rPr>
                <w:i/>
              </w:rPr>
            </w:pPr>
          </w:p>
          <w:p w14:paraId="67B37B75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>Culture of using medication to threaten, control or harm a person.</w:t>
            </w:r>
          </w:p>
          <w:p w14:paraId="6B9436A8" w14:textId="77777777" w:rsidR="00F6513B" w:rsidRPr="00F6513B" w:rsidRDefault="00F6513B" w:rsidP="00B9508A">
            <w:pPr>
              <w:rPr>
                <w:i/>
              </w:rPr>
            </w:pPr>
          </w:p>
          <w:p w14:paraId="3001AE3D" w14:textId="77777777" w:rsidR="00F6513B" w:rsidRPr="00F6513B" w:rsidRDefault="00F6513B" w:rsidP="00B9508A">
            <w:pPr>
              <w:rPr>
                <w:i/>
              </w:rPr>
            </w:pPr>
            <w:r w:rsidRPr="00F6513B">
              <w:rPr>
                <w:i/>
              </w:rPr>
              <w:t xml:space="preserve">Failure of quality and monitoring of medication leading to death or irreversible harm to a person. </w:t>
            </w:r>
          </w:p>
        </w:tc>
      </w:tr>
    </w:tbl>
    <w:p w14:paraId="739A574B" w14:textId="77777777" w:rsidR="00773631" w:rsidRDefault="00773631" w:rsidP="00773631">
      <w:pPr>
        <w:ind w:left="2160" w:hanging="1440"/>
      </w:pPr>
    </w:p>
    <w:p w14:paraId="0313D54E" w14:textId="77777777" w:rsidR="00AF546F" w:rsidRDefault="00AF546F" w:rsidP="00AF546F">
      <w:pPr>
        <w:rPr>
          <w:b/>
        </w:rPr>
      </w:pPr>
      <w:r>
        <w:rPr>
          <w:b/>
        </w:rPr>
        <w:t xml:space="preserve">This guidance should be read in conjunction with the </w:t>
      </w:r>
      <w:r w:rsidRPr="006A4B8C">
        <w:rPr>
          <w:b/>
        </w:rPr>
        <w:t>Joint</w:t>
      </w:r>
      <w:r>
        <w:rPr>
          <w:b/>
        </w:rPr>
        <w:t xml:space="preserve"> </w:t>
      </w:r>
      <w:r w:rsidRPr="006A4B8C">
        <w:rPr>
          <w:b/>
        </w:rPr>
        <w:t>Multi-Agency Safeguarding</w:t>
      </w:r>
      <w:r>
        <w:rPr>
          <w:b/>
        </w:rPr>
        <w:t xml:space="preserve"> </w:t>
      </w:r>
      <w:r w:rsidRPr="006A4B8C">
        <w:rPr>
          <w:b/>
        </w:rPr>
        <w:t>Adults</w:t>
      </w:r>
      <w:r>
        <w:rPr>
          <w:b/>
        </w:rPr>
        <w:t xml:space="preserve"> </w:t>
      </w:r>
      <w:r w:rsidRPr="006A4B8C">
        <w:rPr>
          <w:b/>
        </w:rPr>
        <w:t>Policy &amp; Procedures</w:t>
      </w:r>
      <w:r w:rsidRPr="00737B43">
        <w:rPr>
          <w:b/>
        </w:rPr>
        <w:t xml:space="preserve"> </w:t>
      </w:r>
      <w:r>
        <w:rPr>
          <w:b/>
        </w:rPr>
        <w:t xml:space="preserve">and decisions should be underpinned by the six safeguarding principles: Empowerment, </w:t>
      </w:r>
      <w:r w:rsidRPr="00737B43">
        <w:rPr>
          <w:b/>
        </w:rPr>
        <w:t>Prevention</w:t>
      </w:r>
      <w:r>
        <w:rPr>
          <w:b/>
        </w:rPr>
        <w:t>, P</w:t>
      </w:r>
      <w:r w:rsidRPr="00737B43">
        <w:rPr>
          <w:b/>
        </w:rPr>
        <w:t>roportionality</w:t>
      </w:r>
      <w:r>
        <w:rPr>
          <w:b/>
        </w:rPr>
        <w:t>, P</w:t>
      </w:r>
      <w:r w:rsidRPr="00737B43">
        <w:rPr>
          <w:b/>
        </w:rPr>
        <w:t>rotection</w:t>
      </w:r>
      <w:r>
        <w:rPr>
          <w:b/>
        </w:rPr>
        <w:t>, P</w:t>
      </w:r>
      <w:r w:rsidRPr="00737B43">
        <w:rPr>
          <w:b/>
        </w:rPr>
        <w:t>artnership</w:t>
      </w:r>
      <w:r>
        <w:rPr>
          <w:b/>
        </w:rPr>
        <w:t xml:space="preserve"> </w:t>
      </w:r>
      <w:r w:rsidRPr="00737B43">
        <w:rPr>
          <w:b/>
        </w:rPr>
        <w:t>and Accountability.</w:t>
      </w:r>
    </w:p>
    <w:p w14:paraId="2AEACAF5" w14:textId="77777777" w:rsidR="00AF546F" w:rsidRDefault="00AF546F" w:rsidP="00AF546F">
      <w:pPr>
        <w:rPr>
          <w:b/>
        </w:rPr>
      </w:pPr>
      <w:r>
        <w:rPr>
          <w:b/>
        </w:rPr>
        <w:t xml:space="preserve">Every event or concern must be considered on </w:t>
      </w:r>
      <w:proofErr w:type="spellStart"/>
      <w:r>
        <w:rPr>
          <w:b/>
        </w:rPr>
        <w:t>it’s</w:t>
      </w:r>
      <w:proofErr w:type="spellEnd"/>
      <w:r>
        <w:rPr>
          <w:b/>
        </w:rPr>
        <w:t xml:space="preserve"> own merits, to determine whether there are concerns about abuse or neglect, that need to be shared with the local authority so that they can undertake safeguarding enquiries. </w:t>
      </w:r>
    </w:p>
    <w:p w14:paraId="0C78E6A3" w14:textId="77777777" w:rsidR="00AF546F" w:rsidRPr="00737B43" w:rsidRDefault="00AF546F" w:rsidP="00AF546F">
      <w:pPr>
        <w:rPr>
          <w:b/>
          <w:u w:val="single"/>
        </w:rPr>
      </w:pPr>
      <w:r w:rsidRPr="00737B43">
        <w:rPr>
          <w:b/>
          <w:u w:val="single"/>
        </w:rPr>
        <w:t>General Considerations</w:t>
      </w:r>
    </w:p>
    <w:p w14:paraId="1534A63A" w14:textId="77777777" w:rsidR="00AF546F" w:rsidRDefault="00AF546F" w:rsidP="00AF546F">
      <w:pPr>
        <w:pStyle w:val="ListParagraph"/>
        <w:numPr>
          <w:ilvl w:val="0"/>
          <w:numId w:val="2"/>
        </w:numPr>
      </w:pPr>
      <w:r>
        <w:t>Whether the concern is about abuse (including neglect) of an adult(s) at risk.</w:t>
      </w:r>
    </w:p>
    <w:p w14:paraId="1FD9BC97" w14:textId="77777777" w:rsidR="00AF546F" w:rsidRDefault="00AF546F" w:rsidP="00AF546F">
      <w:pPr>
        <w:pStyle w:val="ListParagraph"/>
        <w:numPr>
          <w:ilvl w:val="0"/>
          <w:numId w:val="2"/>
        </w:numPr>
      </w:pPr>
      <w:r>
        <w:t>What the adult at risk wants to happen (or their best interests if they lack mental capacity to make the decision).</w:t>
      </w:r>
    </w:p>
    <w:p w14:paraId="7F24A533" w14:textId="77777777" w:rsidR="00AF546F" w:rsidRDefault="00AF546F" w:rsidP="00AF546F">
      <w:pPr>
        <w:pStyle w:val="ListParagraph"/>
        <w:numPr>
          <w:ilvl w:val="0"/>
          <w:numId w:val="2"/>
        </w:numPr>
      </w:pPr>
      <w:r>
        <w:t xml:space="preserve">Risk of abuse and neglect to others who may not be able to protect themselves from abuse. </w:t>
      </w:r>
    </w:p>
    <w:p w14:paraId="3BE28625" w14:textId="77777777" w:rsidR="00AF546F" w:rsidRDefault="00AF546F" w:rsidP="00AF546F">
      <w:pPr>
        <w:pStyle w:val="ListParagraph"/>
        <w:numPr>
          <w:ilvl w:val="0"/>
          <w:numId w:val="2"/>
        </w:numPr>
      </w:pPr>
      <w:r>
        <w:t>Whether safeguarding enquiries are needed reduce risk of further abuse.</w:t>
      </w:r>
    </w:p>
    <w:p w14:paraId="7C411394" w14:textId="77777777" w:rsidR="00AF546F" w:rsidRDefault="00AF546F" w:rsidP="00AF546F">
      <w:pPr>
        <w:pStyle w:val="ListParagraph"/>
        <w:numPr>
          <w:ilvl w:val="0"/>
          <w:numId w:val="2"/>
        </w:numPr>
      </w:pPr>
      <w:r>
        <w:t>The severity of harm or risk of harm.</w:t>
      </w:r>
    </w:p>
    <w:p w14:paraId="6799024F" w14:textId="77777777" w:rsidR="00AF546F" w:rsidRDefault="00AF546F" w:rsidP="00AF546F">
      <w:pPr>
        <w:pStyle w:val="ListParagraph"/>
        <w:numPr>
          <w:ilvl w:val="0"/>
          <w:numId w:val="2"/>
        </w:numPr>
      </w:pPr>
      <w:r>
        <w:t>The adult’s vital interests (to prevent serious harm or distress or life threatening situations).</w:t>
      </w:r>
    </w:p>
    <w:p w14:paraId="73FA801D" w14:textId="77777777" w:rsidR="00AF546F" w:rsidRPr="00737B43" w:rsidRDefault="00AF546F" w:rsidP="00AF546F">
      <w:pPr>
        <w:rPr>
          <w:b/>
          <w:i/>
          <w:u w:val="single"/>
        </w:rPr>
      </w:pPr>
      <w:r>
        <w:rPr>
          <w:b/>
          <w:i/>
          <w:u w:val="single"/>
        </w:rPr>
        <w:t xml:space="preserve">KEY </w:t>
      </w:r>
    </w:p>
    <w:p w14:paraId="6C11DC8E" w14:textId="77777777" w:rsidR="00AF546F" w:rsidRPr="00737B43" w:rsidRDefault="00AF546F" w:rsidP="00AF546F">
      <w:pPr>
        <w:ind w:left="2880" w:hanging="2160"/>
        <w:rPr>
          <w:b/>
        </w:rPr>
      </w:pPr>
      <w:r>
        <w:rPr>
          <w:b/>
        </w:rPr>
        <w:t xml:space="preserve">Unlikely: </w:t>
      </w:r>
      <w:r>
        <w:rPr>
          <w:b/>
        </w:rPr>
        <w:tab/>
        <w:t xml:space="preserve">Could </w:t>
      </w:r>
      <w:r w:rsidRPr="00737B43">
        <w:rPr>
          <w:b/>
        </w:rPr>
        <w:t xml:space="preserve">be addressed through single agency action, e.g. care management, quality or incident management systems, complaints or personnel policies.  </w:t>
      </w:r>
    </w:p>
    <w:p w14:paraId="044735E4" w14:textId="77777777" w:rsidR="00AF546F" w:rsidRPr="00737B43" w:rsidRDefault="00AF546F" w:rsidP="00AF546F">
      <w:pPr>
        <w:ind w:left="2880" w:hanging="2160"/>
        <w:rPr>
          <w:b/>
        </w:rPr>
      </w:pPr>
      <w:r>
        <w:rPr>
          <w:b/>
        </w:rPr>
        <w:t xml:space="preserve">Possibly: </w:t>
      </w:r>
      <w:r>
        <w:rPr>
          <w:b/>
        </w:rPr>
        <w:tab/>
      </w:r>
      <w:r w:rsidRPr="00737B43">
        <w:rPr>
          <w:b/>
        </w:rPr>
        <w:t xml:space="preserve">Consider safeguarding procedures, but could be addressed through single agency action, e.g. care management, quality or incident management systems, complaints or personnel policies.   </w:t>
      </w:r>
    </w:p>
    <w:p w14:paraId="3AEB1A82" w14:textId="77777777" w:rsidR="00AF546F" w:rsidRPr="00737B43" w:rsidRDefault="00AF546F" w:rsidP="00AF546F">
      <w:pPr>
        <w:ind w:left="2160" w:hanging="1440"/>
        <w:rPr>
          <w:b/>
        </w:rPr>
      </w:pPr>
      <w:r>
        <w:rPr>
          <w:b/>
        </w:rPr>
        <w:t>Probably: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>Likely to require safeguarding adults procedures or discussion with local authority safeguarding team</w:t>
      </w:r>
    </w:p>
    <w:p w14:paraId="6864CD48" w14:textId="77777777" w:rsidR="00AF546F" w:rsidRPr="00737B43" w:rsidRDefault="00AF546F" w:rsidP="00AF546F">
      <w:pPr>
        <w:ind w:left="2160" w:hanging="1440"/>
        <w:rPr>
          <w:b/>
        </w:rPr>
      </w:pPr>
      <w:r>
        <w:rPr>
          <w:b/>
        </w:rPr>
        <w:t>Definitely:</w:t>
      </w:r>
      <w:r>
        <w:rPr>
          <w:b/>
        </w:rPr>
        <w:tab/>
      </w:r>
      <w:r>
        <w:rPr>
          <w:b/>
        </w:rPr>
        <w:tab/>
      </w:r>
      <w:r w:rsidRPr="00737B43">
        <w:rPr>
          <w:b/>
        </w:rPr>
        <w:t>High expectation that concern will be shared with local authority though safeguarding Adults Procedures.</w:t>
      </w:r>
    </w:p>
    <w:p w14:paraId="7E243E1C" w14:textId="77777777" w:rsidR="00AF546F" w:rsidRDefault="00AF546F" w:rsidP="00AF546F">
      <w:pPr>
        <w:ind w:left="2160" w:hanging="1440"/>
        <w:rPr>
          <w:b/>
        </w:rPr>
      </w:pPr>
      <w:r>
        <w:rPr>
          <w:b/>
        </w:rPr>
        <w:t xml:space="preserve">Definitely and SAR: </w:t>
      </w:r>
      <w:r>
        <w:rPr>
          <w:b/>
        </w:rPr>
        <w:tab/>
      </w:r>
      <w:r w:rsidRPr="00D40C78">
        <w:rPr>
          <w:b/>
        </w:rPr>
        <w:t xml:space="preserve">High expectation that concern will be shared with local authority </w:t>
      </w:r>
      <w:r>
        <w:rPr>
          <w:b/>
        </w:rPr>
        <w:t xml:space="preserve">and considered for </w:t>
      </w:r>
      <w:r w:rsidRPr="00773631">
        <w:rPr>
          <w:b/>
        </w:rPr>
        <w:t>a Safeguarding Adult Review.</w:t>
      </w:r>
    </w:p>
    <w:p w14:paraId="4F6FBB25" w14:textId="77777777" w:rsidR="00E11631" w:rsidRDefault="00E11631" w:rsidP="00773631">
      <w:pPr>
        <w:ind w:left="2160" w:hanging="1440"/>
      </w:pPr>
    </w:p>
    <w:sectPr w:rsidR="00E11631" w:rsidSect="00F65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E1A8" w14:textId="77777777" w:rsidR="00D12351" w:rsidRDefault="00D12351" w:rsidP="00D12351">
      <w:pPr>
        <w:spacing w:after="0" w:line="240" w:lineRule="auto"/>
      </w:pPr>
      <w:r>
        <w:separator/>
      </w:r>
    </w:p>
  </w:endnote>
  <w:endnote w:type="continuationSeparator" w:id="0">
    <w:p w14:paraId="68FF2D7D" w14:textId="77777777" w:rsidR="00D12351" w:rsidRDefault="00D12351" w:rsidP="00D1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F12" w14:textId="77777777" w:rsidR="00D12351" w:rsidRDefault="00D12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580E" w14:textId="77777777" w:rsidR="00D12351" w:rsidRDefault="00D1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A933" w14:textId="77777777" w:rsidR="00D12351" w:rsidRDefault="00D12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F35A" w14:textId="77777777" w:rsidR="00D12351" w:rsidRDefault="00D12351" w:rsidP="00D12351">
      <w:pPr>
        <w:spacing w:after="0" w:line="240" w:lineRule="auto"/>
      </w:pPr>
      <w:r>
        <w:separator/>
      </w:r>
    </w:p>
  </w:footnote>
  <w:footnote w:type="continuationSeparator" w:id="0">
    <w:p w14:paraId="0EF317AC" w14:textId="77777777" w:rsidR="00D12351" w:rsidRDefault="00D12351" w:rsidP="00D1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C52" w14:textId="77777777" w:rsidR="00D12351" w:rsidRDefault="00D12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3B47" w14:textId="77777777" w:rsidR="00D12351" w:rsidRDefault="00D1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E2A1" w14:textId="77777777" w:rsidR="00D12351" w:rsidRDefault="00D12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1B0A"/>
    <w:multiLevelType w:val="hybridMultilevel"/>
    <w:tmpl w:val="0E52D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3999"/>
    <w:multiLevelType w:val="hybridMultilevel"/>
    <w:tmpl w:val="C69E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7747">
    <w:abstractNumId w:val="1"/>
  </w:num>
  <w:num w:numId="2" w16cid:durableId="19598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0F"/>
    <w:rsid w:val="00054AF2"/>
    <w:rsid w:val="000734E6"/>
    <w:rsid w:val="000A39C0"/>
    <w:rsid w:val="000A4D7A"/>
    <w:rsid w:val="000C2A21"/>
    <w:rsid w:val="000C7AA3"/>
    <w:rsid w:val="000D46F3"/>
    <w:rsid w:val="00102A4E"/>
    <w:rsid w:val="001133B8"/>
    <w:rsid w:val="00137DF4"/>
    <w:rsid w:val="00147696"/>
    <w:rsid w:val="00173F63"/>
    <w:rsid w:val="00181F38"/>
    <w:rsid w:val="00185691"/>
    <w:rsid w:val="00193B0F"/>
    <w:rsid w:val="001C55EA"/>
    <w:rsid w:val="001D2568"/>
    <w:rsid w:val="001D4859"/>
    <w:rsid w:val="001E1A63"/>
    <w:rsid w:val="001F4295"/>
    <w:rsid w:val="002134F2"/>
    <w:rsid w:val="00272BBA"/>
    <w:rsid w:val="00296E88"/>
    <w:rsid w:val="002A1CFB"/>
    <w:rsid w:val="002B6E8B"/>
    <w:rsid w:val="002D597B"/>
    <w:rsid w:val="002E347C"/>
    <w:rsid w:val="002F573D"/>
    <w:rsid w:val="002F6565"/>
    <w:rsid w:val="0031626D"/>
    <w:rsid w:val="00320966"/>
    <w:rsid w:val="003264F0"/>
    <w:rsid w:val="00335629"/>
    <w:rsid w:val="003363CE"/>
    <w:rsid w:val="003721BB"/>
    <w:rsid w:val="00384742"/>
    <w:rsid w:val="00446307"/>
    <w:rsid w:val="004A49AA"/>
    <w:rsid w:val="00532811"/>
    <w:rsid w:val="005741AD"/>
    <w:rsid w:val="0059389A"/>
    <w:rsid w:val="005F596C"/>
    <w:rsid w:val="00605BE7"/>
    <w:rsid w:val="00627CED"/>
    <w:rsid w:val="00633070"/>
    <w:rsid w:val="006478A8"/>
    <w:rsid w:val="006741CE"/>
    <w:rsid w:val="00675466"/>
    <w:rsid w:val="006A4B8C"/>
    <w:rsid w:val="006A612E"/>
    <w:rsid w:val="006E3941"/>
    <w:rsid w:val="006F126D"/>
    <w:rsid w:val="00737B43"/>
    <w:rsid w:val="007556C8"/>
    <w:rsid w:val="00757E81"/>
    <w:rsid w:val="00766070"/>
    <w:rsid w:val="00773631"/>
    <w:rsid w:val="00794A2F"/>
    <w:rsid w:val="007B620D"/>
    <w:rsid w:val="007C41E8"/>
    <w:rsid w:val="00832A80"/>
    <w:rsid w:val="00835432"/>
    <w:rsid w:val="008639AD"/>
    <w:rsid w:val="008C1739"/>
    <w:rsid w:val="008C676C"/>
    <w:rsid w:val="00901279"/>
    <w:rsid w:val="009121A1"/>
    <w:rsid w:val="00930E31"/>
    <w:rsid w:val="0094440C"/>
    <w:rsid w:val="00950C6C"/>
    <w:rsid w:val="00987602"/>
    <w:rsid w:val="00995CED"/>
    <w:rsid w:val="00A50D6E"/>
    <w:rsid w:val="00A544D3"/>
    <w:rsid w:val="00A9065E"/>
    <w:rsid w:val="00AB703E"/>
    <w:rsid w:val="00AF546F"/>
    <w:rsid w:val="00B8234F"/>
    <w:rsid w:val="00B85620"/>
    <w:rsid w:val="00B94123"/>
    <w:rsid w:val="00BA52E3"/>
    <w:rsid w:val="00BF03F1"/>
    <w:rsid w:val="00BF5A56"/>
    <w:rsid w:val="00C23AFC"/>
    <w:rsid w:val="00C3740A"/>
    <w:rsid w:val="00C4582B"/>
    <w:rsid w:val="00C64830"/>
    <w:rsid w:val="00C941E7"/>
    <w:rsid w:val="00CA3103"/>
    <w:rsid w:val="00D105CA"/>
    <w:rsid w:val="00D12351"/>
    <w:rsid w:val="00D24B0F"/>
    <w:rsid w:val="00D40C78"/>
    <w:rsid w:val="00D452E7"/>
    <w:rsid w:val="00D7278D"/>
    <w:rsid w:val="00DC1728"/>
    <w:rsid w:val="00DF6D22"/>
    <w:rsid w:val="00E11631"/>
    <w:rsid w:val="00E44D56"/>
    <w:rsid w:val="00F3086A"/>
    <w:rsid w:val="00F501D3"/>
    <w:rsid w:val="00F6513B"/>
    <w:rsid w:val="00F71FB6"/>
    <w:rsid w:val="00FA498B"/>
    <w:rsid w:val="00FD221E"/>
    <w:rsid w:val="00FD2A70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C5E3CF"/>
  <w15:docId w15:val="{35AB85FA-0321-4F83-84A0-53ABF65C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6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51"/>
  </w:style>
  <w:style w:type="paragraph" w:styleId="Footer">
    <w:name w:val="footer"/>
    <w:basedOn w:val="Normal"/>
    <w:link w:val="FooterChar"/>
    <w:uiPriority w:val="99"/>
    <w:unhideWhenUsed/>
    <w:rsid w:val="00D12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O'Connor Matt</dc:creator>
  <cp:lastModifiedBy>Helen Khan</cp:lastModifiedBy>
  <cp:revision>3</cp:revision>
  <cp:lastPrinted>2019-04-02T15:41:00Z</cp:lastPrinted>
  <dcterms:created xsi:type="dcterms:W3CDTF">2023-12-13T09:10:00Z</dcterms:created>
  <dcterms:modified xsi:type="dcterms:W3CDTF">2023-12-13T09:11:00Z</dcterms:modified>
</cp:coreProperties>
</file>