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B052" w14:textId="0C4DC514" w:rsidR="00592DDA" w:rsidRDefault="00592DDA" w:rsidP="003155D8">
      <w:pPr>
        <w:jc w:val="center"/>
        <w:rPr>
          <w:b/>
          <w:sz w:val="32"/>
        </w:rPr>
      </w:pPr>
      <w:bookmarkStart w:id="0" w:name="_GoBack"/>
      <w:r>
        <w:rPr>
          <w:b/>
          <w:noProof/>
          <w:sz w:val="32"/>
          <w:lang w:eastAsia="en-GB"/>
        </w:rPr>
        <w:drawing>
          <wp:inline distT="0" distB="0" distL="0" distR="0" wp14:anchorId="55B6416C" wp14:editId="6E9CB3DF">
            <wp:extent cx="1247775" cy="1572716"/>
            <wp:effectExtent l="0" t="0" r="0" b="8890"/>
            <wp:docPr id="2" name="Picture 2"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radford Safeguarding Business Partnership\New Partnership Logos\bradford-partnership-logo-colour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572716"/>
                    </a:xfrm>
                    <a:prstGeom prst="rect">
                      <a:avLst/>
                    </a:prstGeom>
                    <a:noFill/>
                    <a:ln>
                      <a:noFill/>
                    </a:ln>
                  </pic:spPr>
                </pic:pic>
              </a:graphicData>
            </a:graphic>
          </wp:inline>
        </w:drawing>
      </w:r>
      <w:bookmarkEnd w:id="0"/>
    </w:p>
    <w:p w14:paraId="772831E5" w14:textId="77777777" w:rsidR="00592DDA" w:rsidRDefault="00592DDA" w:rsidP="003155D8">
      <w:pPr>
        <w:jc w:val="center"/>
        <w:rPr>
          <w:b/>
          <w:sz w:val="32"/>
        </w:rPr>
      </w:pPr>
    </w:p>
    <w:p w14:paraId="42DB21C7" w14:textId="4B57E111" w:rsidR="000126BB" w:rsidRPr="000126BB" w:rsidRDefault="003155D8" w:rsidP="003155D8">
      <w:pPr>
        <w:jc w:val="center"/>
        <w:rPr>
          <w:b/>
          <w:sz w:val="32"/>
        </w:rPr>
      </w:pPr>
      <w:r>
        <w:rPr>
          <w:b/>
          <w:sz w:val="32"/>
        </w:rPr>
        <w:t xml:space="preserve">Performance Management, Audit and Evaluation </w:t>
      </w:r>
      <w:r w:rsidR="000126BB" w:rsidRPr="000126BB">
        <w:rPr>
          <w:b/>
          <w:sz w:val="32"/>
        </w:rPr>
        <w:t>Sub-Group</w:t>
      </w:r>
    </w:p>
    <w:p w14:paraId="6BABB126" w14:textId="77777777" w:rsidR="000126BB" w:rsidRPr="000126BB" w:rsidRDefault="000126BB" w:rsidP="000126BB">
      <w:pPr>
        <w:jc w:val="center"/>
        <w:rPr>
          <w:b/>
          <w:sz w:val="32"/>
        </w:rPr>
      </w:pPr>
      <w:r w:rsidRPr="000126BB">
        <w:rPr>
          <w:b/>
          <w:sz w:val="32"/>
        </w:rPr>
        <w:t>Terms of Reference</w:t>
      </w:r>
    </w:p>
    <w:p w14:paraId="34B7E130" w14:textId="77777777" w:rsidR="000126BB" w:rsidRPr="005E35AE" w:rsidRDefault="000126BB" w:rsidP="00B46DF8">
      <w:pPr>
        <w:spacing w:after="0"/>
        <w:rPr>
          <w:b/>
        </w:rPr>
      </w:pPr>
      <w:r w:rsidRPr="005E35AE">
        <w:rPr>
          <w:b/>
        </w:rPr>
        <w:t>Purpose</w:t>
      </w:r>
    </w:p>
    <w:p w14:paraId="0D46B4F3" w14:textId="7216BC2B" w:rsidR="000126BB" w:rsidRPr="003026F2" w:rsidRDefault="00250FAC" w:rsidP="000126BB">
      <w:pPr>
        <w:rPr>
          <w:rFonts w:ascii="Times New Roman" w:eastAsia="Times New Roman" w:hAnsi="Times New Roman" w:cs="Times New Roman"/>
          <w:sz w:val="24"/>
          <w:szCs w:val="24"/>
          <w:lang w:eastAsia="en-GB"/>
        </w:rPr>
      </w:pPr>
      <w:r>
        <w:t>This group will enable B</w:t>
      </w:r>
      <w:r w:rsidR="000126BB" w:rsidRPr="005E35AE">
        <w:t xml:space="preserve">SCB to </w:t>
      </w:r>
      <w:r>
        <w:t>monitor,</w:t>
      </w:r>
      <w:r w:rsidR="00993C80" w:rsidRPr="00993C80">
        <w:t xml:space="preserve"> evaluate </w:t>
      </w:r>
      <w:r>
        <w:t xml:space="preserve">and provide assurance about </w:t>
      </w:r>
      <w:r w:rsidR="00993C80" w:rsidRPr="00993C80">
        <w:t>the effectiveness of what is</w:t>
      </w:r>
      <w:r>
        <w:t xml:space="preserve"> done by</w:t>
      </w:r>
      <w:r w:rsidR="00993C80" w:rsidRPr="00993C80">
        <w:t xml:space="preserve"> partners individually and collectively and report this to the Board, who can then in turn agree appropriate strategies and actions on ways to improve.</w:t>
      </w:r>
    </w:p>
    <w:p w14:paraId="606FA044" w14:textId="07404568" w:rsidR="00996A9D" w:rsidRPr="00826D01" w:rsidRDefault="000126BB" w:rsidP="00826D01">
      <w:pPr>
        <w:spacing w:after="0"/>
        <w:rPr>
          <w:b/>
        </w:rPr>
      </w:pPr>
      <w:r w:rsidRPr="005E35AE">
        <w:rPr>
          <w:b/>
        </w:rPr>
        <w:t>Remit</w:t>
      </w:r>
    </w:p>
    <w:p w14:paraId="59ACE260" w14:textId="54BD6A0A" w:rsidR="003A296F" w:rsidRPr="003A296F" w:rsidRDefault="003A296F" w:rsidP="004A31C3">
      <w:pPr>
        <w:numPr>
          <w:ilvl w:val="0"/>
          <w:numId w:val="1"/>
        </w:numPr>
        <w:contextualSpacing/>
        <w:jc w:val="both"/>
        <w:rPr>
          <w:b/>
        </w:rPr>
      </w:pPr>
      <w:r w:rsidRPr="003026F2">
        <w:rPr>
          <w:rFonts w:cs="Arial"/>
        </w:rPr>
        <w:t>S</w:t>
      </w:r>
      <w:r w:rsidRPr="003A296F">
        <w:rPr>
          <w:rFonts w:cs="Arial"/>
        </w:rPr>
        <w:t>pecify and receive performance data from all agencies in relation to the LSCB’s core business and the wider safeguarding agenda from sources including:</w:t>
      </w:r>
    </w:p>
    <w:p w14:paraId="587558BC" w14:textId="77777777" w:rsidR="003A296F" w:rsidRPr="003A296F" w:rsidRDefault="003A296F" w:rsidP="004A31C3">
      <w:pPr>
        <w:numPr>
          <w:ilvl w:val="1"/>
          <w:numId w:val="1"/>
        </w:numPr>
        <w:contextualSpacing/>
        <w:jc w:val="both"/>
        <w:rPr>
          <w:rFonts w:cs="Arial"/>
        </w:rPr>
      </w:pPr>
      <w:r w:rsidRPr="003A296F">
        <w:rPr>
          <w:rFonts w:cs="Arial"/>
        </w:rPr>
        <w:t>Performance indicators in agreed data set</w:t>
      </w:r>
    </w:p>
    <w:p w14:paraId="28DA18AA" w14:textId="77777777" w:rsidR="003A296F" w:rsidRPr="003026F2" w:rsidRDefault="003A296F" w:rsidP="004A31C3">
      <w:pPr>
        <w:numPr>
          <w:ilvl w:val="1"/>
          <w:numId w:val="1"/>
        </w:numPr>
        <w:contextualSpacing/>
        <w:jc w:val="both"/>
        <w:rPr>
          <w:rFonts w:cs="Arial"/>
        </w:rPr>
      </w:pPr>
      <w:r w:rsidRPr="003A296F">
        <w:rPr>
          <w:rFonts w:cs="Arial"/>
        </w:rPr>
        <w:t>Performance reports and audits carried out within agencies</w:t>
      </w:r>
    </w:p>
    <w:p w14:paraId="7E0ADFD2" w14:textId="745FCA34" w:rsidR="003A296F" w:rsidRPr="003026F2" w:rsidRDefault="003A296F" w:rsidP="004A31C3">
      <w:pPr>
        <w:numPr>
          <w:ilvl w:val="1"/>
          <w:numId w:val="1"/>
        </w:numPr>
        <w:contextualSpacing/>
        <w:jc w:val="both"/>
        <w:rPr>
          <w:rFonts w:cs="Arial"/>
        </w:rPr>
      </w:pPr>
      <w:r w:rsidRPr="003026F2">
        <w:rPr>
          <w:rFonts w:cs="Arial"/>
        </w:rPr>
        <w:t>Results of the annual Section 11 audit</w:t>
      </w:r>
    </w:p>
    <w:p w14:paraId="02398995" w14:textId="19DD2C20" w:rsidR="003A296F" w:rsidRPr="003A296F" w:rsidRDefault="003A296F" w:rsidP="004A31C3">
      <w:pPr>
        <w:numPr>
          <w:ilvl w:val="1"/>
          <w:numId w:val="1"/>
        </w:numPr>
        <w:contextualSpacing/>
        <w:jc w:val="both"/>
        <w:rPr>
          <w:rFonts w:cs="Arial"/>
        </w:rPr>
      </w:pPr>
      <w:r w:rsidRPr="003026F2">
        <w:rPr>
          <w:rFonts w:cs="Arial"/>
        </w:rPr>
        <w:t>Findings from challenge panels and other multi-agency audit processes</w:t>
      </w:r>
    </w:p>
    <w:p w14:paraId="7BA3C92E" w14:textId="7591A44E" w:rsidR="003A296F" w:rsidRPr="003A296F" w:rsidRDefault="003A296F" w:rsidP="004A31C3">
      <w:pPr>
        <w:numPr>
          <w:ilvl w:val="0"/>
          <w:numId w:val="1"/>
        </w:numPr>
        <w:contextualSpacing/>
        <w:jc w:val="both"/>
        <w:rPr>
          <w:rFonts w:cs="Arial"/>
        </w:rPr>
      </w:pPr>
      <w:r w:rsidRPr="003026F2">
        <w:rPr>
          <w:rFonts w:cs="Arial"/>
        </w:rPr>
        <w:t>Analyse this data to:</w:t>
      </w:r>
    </w:p>
    <w:p w14:paraId="5569F1C8" w14:textId="77777777" w:rsidR="003A296F" w:rsidRPr="003A296F" w:rsidRDefault="003A296F" w:rsidP="004A31C3">
      <w:pPr>
        <w:numPr>
          <w:ilvl w:val="1"/>
          <w:numId w:val="1"/>
        </w:numPr>
        <w:contextualSpacing/>
        <w:jc w:val="both"/>
        <w:rPr>
          <w:rFonts w:cs="Arial"/>
        </w:rPr>
      </w:pPr>
      <w:r w:rsidRPr="003A296F">
        <w:rPr>
          <w:rFonts w:cs="Arial"/>
        </w:rPr>
        <w:t>Report on performance across partner agencies</w:t>
      </w:r>
    </w:p>
    <w:p w14:paraId="5C6D5A19" w14:textId="77777777" w:rsidR="003A296F" w:rsidRPr="003A296F" w:rsidRDefault="003A296F" w:rsidP="004A31C3">
      <w:pPr>
        <w:numPr>
          <w:ilvl w:val="1"/>
          <w:numId w:val="1"/>
        </w:numPr>
        <w:contextualSpacing/>
        <w:jc w:val="both"/>
        <w:rPr>
          <w:rFonts w:cs="Arial"/>
        </w:rPr>
      </w:pPr>
      <w:r w:rsidRPr="003A296F">
        <w:rPr>
          <w:rFonts w:cs="Arial"/>
        </w:rPr>
        <w:t>Identify areas of good practice</w:t>
      </w:r>
    </w:p>
    <w:p w14:paraId="6A26661E" w14:textId="77777777" w:rsidR="003A296F" w:rsidRPr="003A296F" w:rsidRDefault="003A296F" w:rsidP="004A31C3">
      <w:pPr>
        <w:numPr>
          <w:ilvl w:val="1"/>
          <w:numId w:val="1"/>
        </w:numPr>
        <w:contextualSpacing/>
        <w:jc w:val="both"/>
        <w:rPr>
          <w:rFonts w:cs="Arial"/>
        </w:rPr>
      </w:pPr>
      <w:r w:rsidRPr="003A296F">
        <w:rPr>
          <w:rFonts w:cs="Arial"/>
        </w:rPr>
        <w:t>Identify areas of concern to the LSCB and make recommendations for action</w:t>
      </w:r>
    </w:p>
    <w:p w14:paraId="5E288276" w14:textId="0B4FAD76" w:rsidR="003A296F" w:rsidRPr="003A296F" w:rsidRDefault="003A296F" w:rsidP="004A31C3">
      <w:pPr>
        <w:numPr>
          <w:ilvl w:val="1"/>
          <w:numId w:val="1"/>
        </w:numPr>
        <w:contextualSpacing/>
        <w:jc w:val="both"/>
        <w:rPr>
          <w:rFonts w:cs="Arial"/>
        </w:rPr>
      </w:pPr>
      <w:r w:rsidRPr="003A296F">
        <w:rPr>
          <w:rFonts w:cs="Arial"/>
        </w:rPr>
        <w:t xml:space="preserve">Understand </w:t>
      </w:r>
      <w:r w:rsidRPr="003026F2">
        <w:rPr>
          <w:rFonts w:cs="Arial"/>
        </w:rPr>
        <w:t xml:space="preserve">Bradford’s </w:t>
      </w:r>
      <w:r w:rsidRPr="003A296F">
        <w:rPr>
          <w:rFonts w:cs="Arial"/>
        </w:rPr>
        <w:t>performance in relation to comparator authorities</w:t>
      </w:r>
    </w:p>
    <w:p w14:paraId="5321C27B" w14:textId="1744BE40" w:rsidR="003A296F" w:rsidRPr="00250FAC" w:rsidRDefault="00250FAC" w:rsidP="004A31C3">
      <w:pPr>
        <w:numPr>
          <w:ilvl w:val="0"/>
          <w:numId w:val="1"/>
        </w:numPr>
        <w:contextualSpacing/>
        <w:jc w:val="both"/>
        <w:rPr>
          <w:rFonts w:cs="Arial"/>
        </w:rPr>
      </w:pPr>
      <w:r>
        <w:rPr>
          <w:rFonts w:cs="Arial"/>
        </w:rPr>
        <w:t>Conduct</w:t>
      </w:r>
      <w:r w:rsidR="003A296F" w:rsidRPr="003A296F">
        <w:rPr>
          <w:rFonts w:cs="Arial"/>
        </w:rPr>
        <w:t xml:space="preserve"> </w:t>
      </w:r>
      <w:r>
        <w:rPr>
          <w:rFonts w:cs="Arial"/>
        </w:rPr>
        <w:t xml:space="preserve">challenge panels </w:t>
      </w:r>
      <w:r w:rsidR="003A296F" w:rsidRPr="003A296F">
        <w:rPr>
          <w:rFonts w:cs="Arial"/>
        </w:rPr>
        <w:t>to identify quality of practice and lessons to be le</w:t>
      </w:r>
      <w:r>
        <w:rPr>
          <w:rFonts w:cs="Arial"/>
        </w:rPr>
        <w:t>arned for multi-agency practice, and subsequently p</w:t>
      </w:r>
      <w:r w:rsidRPr="00250FAC">
        <w:rPr>
          <w:rFonts w:cs="Arial"/>
        </w:rPr>
        <w:t xml:space="preserve">rovide assurance that </w:t>
      </w:r>
      <w:r>
        <w:rPr>
          <w:rFonts w:cs="Arial"/>
        </w:rPr>
        <w:t>findings are being responded to;</w:t>
      </w:r>
    </w:p>
    <w:p w14:paraId="512ECBD0" w14:textId="434355F9" w:rsidR="003A296F" w:rsidRPr="003A296F" w:rsidRDefault="003A296F" w:rsidP="004A31C3">
      <w:pPr>
        <w:numPr>
          <w:ilvl w:val="0"/>
          <w:numId w:val="1"/>
        </w:numPr>
        <w:contextualSpacing/>
        <w:jc w:val="both"/>
        <w:rPr>
          <w:rFonts w:cs="Arial"/>
        </w:rPr>
      </w:pPr>
      <w:r w:rsidRPr="003A296F">
        <w:rPr>
          <w:rFonts w:cs="Arial"/>
        </w:rPr>
        <w:t>Receive monitoring information about the extent to which children and young people who are the subject of interventions achieve positive outcomes</w:t>
      </w:r>
      <w:r w:rsidR="00250FAC">
        <w:rPr>
          <w:rFonts w:cs="Arial"/>
        </w:rPr>
        <w:t>;</w:t>
      </w:r>
    </w:p>
    <w:p w14:paraId="0B4DD052" w14:textId="0945F831" w:rsidR="003A296F" w:rsidRPr="003A296F" w:rsidRDefault="003A296F" w:rsidP="004A31C3">
      <w:pPr>
        <w:numPr>
          <w:ilvl w:val="0"/>
          <w:numId w:val="1"/>
        </w:numPr>
        <w:contextualSpacing/>
        <w:jc w:val="both"/>
        <w:rPr>
          <w:rFonts w:cs="Arial"/>
        </w:rPr>
      </w:pPr>
      <w:r w:rsidRPr="003A296F">
        <w:rPr>
          <w:rFonts w:cs="Arial"/>
        </w:rPr>
        <w:t>Review and respond to safeguarding issues raised in external inspectorate reports on partner settings and services</w:t>
      </w:r>
      <w:r w:rsidR="00250FAC">
        <w:rPr>
          <w:rFonts w:cs="Arial"/>
        </w:rPr>
        <w:t>;</w:t>
      </w:r>
    </w:p>
    <w:p w14:paraId="433D8087" w14:textId="5C4F3542" w:rsidR="003A296F" w:rsidRPr="003A296F" w:rsidRDefault="003A296F" w:rsidP="004A31C3">
      <w:pPr>
        <w:numPr>
          <w:ilvl w:val="0"/>
          <w:numId w:val="1"/>
        </w:numPr>
        <w:contextualSpacing/>
        <w:jc w:val="both"/>
        <w:rPr>
          <w:rFonts w:cs="Arial"/>
        </w:rPr>
      </w:pPr>
      <w:r w:rsidRPr="003A296F">
        <w:rPr>
          <w:rFonts w:cs="Arial"/>
        </w:rPr>
        <w:t>Ensure multi-agency safeguarding self-evalua</w:t>
      </w:r>
      <w:r w:rsidRPr="003026F2">
        <w:rPr>
          <w:rFonts w:cs="Arial"/>
        </w:rPr>
        <w:t>tions are</w:t>
      </w:r>
      <w:r w:rsidRPr="003A296F">
        <w:rPr>
          <w:rFonts w:cs="Arial"/>
        </w:rPr>
        <w:t xml:space="preserve"> completed, and facilitate self-evaluations in partner agencies as appropriate</w:t>
      </w:r>
      <w:r w:rsidR="00250FAC">
        <w:rPr>
          <w:rFonts w:cs="Arial"/>
        </w:rPr>
        <w:t>;</w:t>
      </w:r>
    </w:p>
    <w:p w14:paraId="182979A2" w14:textId="65BB0D6D" w:rsidR="003A296F" w:rsidRPr="003A296F" w:rsidRDefault="003A296F" w:rsidP="004A31C3">
      <w:pPr>
        <w:numPr>
          <w:ilvl w:val="0"/>
          <w:numId w:val="1"/>
        </w:numPr>
        <w:contextualSpacing/>
        <w:jc w:val="both"/>
        <w:rPr>
          <w:rFonts w:cs="Arial"/>
        </w:rPr>
      </w:pPr>
      <w:r w:rsidRPr="003A296F">
        <w:rPr>
          <w:rFonts w:cs="Arial"/>
        </w:rPr>
        <w:t>Use data and evidence collected to advise partners on best practice and developing new procedures</w:t>
      </w:r>
      <w:r w:rsidR="00250FAC">
        <w:rPr>
          <w:rFonts w:cs="Arial"/>
        </w:rPr>
        <w:t>;</w:t>
      </w:r>
    </w:p>
    <w:p w14:paraId="0A2BEB0F" w14:textId="765894A6" w:rsidR="003A296F" w:rsidRPr="003A296F" w:rsidRDefault="003A296F" w:rsidP="004A31C3">
      <w:pPr>
        <w:numPr>
          <w:ilvl w:val="0"/>
          <w:numId w:val="1"/>
        </w:numPr>
        <w:contextualSpacing/>
        <w:jc w:val="both"/>
        <w:rPr>
          <w:rFonts w:cs="Arial"/>
        </w:rPr>
      </w:pPr>
      <w:r w:rsidRPr="003A296F">
        <w:rPr>
          <w:rFonts w:cs="Arial"/>
        </w:rPr>
        <w:t>Monitor progress on priority issues</w:t>
      </w:r>
      <w:r w:rsidR="00250FAC">
        <w:rPr>
          <w:rFonts w:cs="Arial"/>
        </w:rPr>
        <w:t xml:space="preserve"> as set out in the Board Business Plan or identified by the sub-group;</w:t>
      </w:r>
    </w:p>
    <w:p w14:paraId="51E5628F" w14:textId="3F4B9539" w:rsidR="003A296F" w:rsidRDefault="003A296F" w:rsidP="004A31C3">
      <w:pPr>
        <w:numPr>
          <w:ilvl w:val="0"/>
          <w:numId w:val="1"/>
        </w:numPr>
        <w:contextualSpacing/>
        <w:jc w:val="both"/>
        <w:rPr>
          <w:rFonts w:cs="Arial"/>
        </w:rPr>
      </w:pPr>
      <w:r w:rsidRPr="003A296F">
        <w:rPr>
          <w:rFonts w:cs="Arial"/>
        </w:rPr>
        <w:lastRenderedPageBreak/>
        <w:t>Ensure that robust quality assurance processes are in place to monitor compliance by relevant agencies with requirements to support safe staff recruitment and supervision procedures</w:t>
      </w:r>
      <w:r w:rsidR="00250FAC">
        <w:rPr>
          <w:rFonts w:cs="Arial"/>
        </w:rPr>
        <w:t>;</w:t>
      </w:r>
    </w:p>
    <w:p w14:paraId="17921BC4" w14:textId="57FDBCEA" w:rsidR="004877FB" w:rsidRPr="003A296F" w:rsidRDefault="00CA1FB6" w:rsidP="004A31C3">
      <w:pPr>
        <w:numPr>
          <w:ilvl w:val="0"/>
          <w:numId w:val="1"/>
        </w:numPr>
        <w:contextualSpacing/>
        <w:jc w:val="both"/>
        <w:rPr>
          <w:rFonts w:cs="Arial"/>
        </w:rPr>
      </w:pPr>
      <w:r>
        <w:rPr>
          <w:rFonts w:cs="Arial"/>
        </w:rPr>
        <w:t>Create cooperative arrangements with other strategic partnerships (such as the Safeguarding Adults Board and the Community Safety Partnership) so as to maximise the efficiency and value of performance management activity;</w:t>
      </w:r>
    </w:p>
    <w:p w14:paraId="33AF3B50" w14:textId="51A87B5B" w:rsidR="003A296F" w:rsidRPr="003026F2" w:rsidRDefault="003A296F" w:rsidP="004A31C3">
      <w:pPr>
        <w:numPr>
          <w:ilvl w:val="0"/>
          <w:numId w:val="1"/>
        </w:numPr>
        <w:contextualSpacing/>
        <w:jc w:val="both"/>
        <w:rPr>
          <w:rFonts w:cs="Arial"/>
        </w:rPr>
      </w:pPr>
      <w:r w:rsidRPr="003A296F">
        <w:rPr>
          <w:rFonts w:cs="Arial"/>
        </w:rPr>
        <w:t>Monitor relevant equalities performance data, particularly the effectiveness of safeguarding for vulnerable groups such as disabled children and young people and unaccompanied asylum seeking children and young people</w:t>
      </w:r>
      <w:r w:rsidR="00250FAC">
        <w:rPr>
          <w:rFonts w:cs="Arial"/>
        </w:rPr>
        <w:t>;</w:t>
      </w:r>
    </w:p>
    <w:p w14:paraId="61DFF17A" w14:textId="1346DC6B" w:rsidR="003155D8" w:rsidRPr="00D82B22" w:rsidRDefault="003A296F" w:rsidP="004A31C3">
      <w:pPr>
        <w:numPr>
          <w:ilvl w:val="0"/>
          <w:numId w:val="1"/>
        </w:numPr>
        <w:contextualSpacing/>
        <w:jc w:val="both"/>
        <w:rPr>
          <w:rFonts w:cs="Arial"/>
        </w:rPr>
      </w:pPr>
      <w:r w:rsidRPr="00D82B22">
        <w:rPr>
          <w:rFonts w:cs="Arial"/>
        </w:rPr>
        <w:t>E</w:t>
      </w:r>
      <w:r w:rsidR="003155D8" w:rsidRPr="00D82B22">
        <w:rPr>
          <w:rFonts w:cs="Arial"/>
        </w:rPr>
        <w:t>nsure that the voice of the child is evidenced in all areas of work carried out u</w:t>
      </w:r>
      <w:r w:rsidR="00250FAC">
        <w:rPr>
          <w:rFonts w:cs="Arial"/>
        </w:rPr>
        <w:t>nder the sub group’s action plan;</w:t>
      </w:r>
    </w:p>
    <w:p w14:paraId="637F8B38" w14:textId="3ADEC268" w:rsidR="00D90CF9" w:rsidRDefault="003155D8" w:rsidP="004A31C3">
      <w:pPr>
        <w:numPr>
          <w:ilvl w:val="0"/>
          <w:numId w:val="1"/>
        </w:numPr>
        <w:contextualSpacing/>
        <w:jc w:val="both"/>
        <w:rPr>
          <w:rFonts w:cs="Arial"/>
        </w:rPr>
      </w:pPr>
      <w:r w:rsidRPr="00D82B22">
        <w:rPr>
          <w:rFonts w:cs="Arial"/>
        </w:rPr>
        <w:t>To ensure that the Chair of BSCB and the business planning group is promptly informed of any significant concerns relating to practice in the District in the field of safeguarding and promoting the welfare of children.</w:t>
      </w:r>
    </w:p>
    <w:p w14:paraId="0ED4DF95" w14:textId="77777777" w:rsidR="004877FB" w:rsidRPr="004877FB" w:rsidRDefault="004877FB" w:rsidP="004877FB">
      <w:pPr>
        <w:ind w:left="360"/>
        <w:contextualSpacing/>
        <w:jc w:val="both"/>
        <w:rPr>
          <w:rFonts w:cs="Arial"/>
        </w:rPr>
      </w:pPr>
    </w:p>
    <w:p w14:paraId="4D77C539" w14:textId="77777777" w:rsidR="003026F2" w:rsidRDefault="00350E9C" w:rsidP="003026F2">
      <w:pPr>
        <w:spacing w:after="0"/>
        <w:rPr>
          <w:b/>
        </w:rPr>
      </w:pPr>
      <w:r w:rsidRPr="00D90CF9">
        <w:rPr>
          <w:b/>
        </w:rPr>
        <w:t xml:space="preserve">Accountability </w:t>
      </w:r>
    </w:p>
    <w:p w14:paraId="41707EEA" w14:textId="07A90247" w:rsidR="00350E9C" w:rsidRPr="00D90CF9" w:rsidRDefault="00350E9C" w:rsidP="003026F2">
      <w:pPr>
        <w:rPr>
          <w:b/>
        </w:rPr>
      </w:pPr>
      <w:r w:rsidRPr="005E35AE">
        <w:t>The S</w:t>
      </w:r>
      <w:r w:rsidR="00250FAC">
        <w:t>ub Group is accountable to the B</w:t>
      </w:r>
      <w:r w:rsidRPr="005E35AE">
        <w:t xml:space="preserve">SCB. The Sub Group will raise </w:t>
      </w:r>
      <w:r w:rsidR="00250FAC">
        <w:t xml:space="preserve">with the Board </w:t>
      </w:r>
      <w:r w:rsidRPr="005E35AE">
        <w:t>issues that need resolution beyond the remit of its members.</w:t>
      </w:r>
    </w:p>
    <w:p w14:paraId="7A4E0FDA" w14:textId="77777777" w:rsidR="00CA1FB6" w:rsidRDefault="00CA1FB6" w:rsidP="00B46DF8">
      <w:pPr>
        <w:spacing w:after="0"/>
        <w:rPr>
          <w:b/>
        </w:rPr>
      </w:pPr>
    </w:p>
    <w:p w14:paraId="13C1AF47" w14:textId="77777777" w:rsidR="00350E9C" w:rsidRPr="005E35AE" w:rsidRDefault="00350E9C" w:rsidP="00B46DF8">
      <w:pPr>
        <w:spacing w:after="0"/>
        <w:rPr>
          <w:b/>
        </w:rPr>
      </w:pPr>
      <w:r w:rsidRPr="005E35AE">
        <w:rPr>
          <w:b/>
        </w:rPr>
        <w:t xml:space="preserve">Membership </w:t>
      </w:r>
    </w:p>
    <w:p w14:paraId="7B98EC8C" w14:textId="4ED3C074" w:rsidR="00C77C6E" w:rsidRPr="00826D01" w:rsidRDefault="00350E9C" w:rsidP="00826D01">
      <w:pPr>
        <w:spacing w:after="0"/>
      </w:pPr>
      <w:r w:rsidRPr="005E35AE">
        <w:t>The agencies forming the core membersh</w:t>
      </w:r>
      <w:r w:rsidR="00B46DF8" w:rsidRPr="005E35AE">
        <w:t>ip of the Group are</w:t>
      </w:r>
      <w:r w:rsidRPr="005E35AE">
        <w:t>:</w:t>
      </w:r>
    </w:p>
    <w:p w14:paraId="4856FAF9" w14:textId="7E3A8542" w:rsidR="00996A9D" w:rsidRDefault="00250FAC"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 xml:space="preserve">CBMDC </w:t>
      </w:r>
      <w:r w:rsidR="00996A9D" w:rsidRPr="00826D01">
        <w:rPr>
          <w:rFonts w:cs="Arial"/>
          <w:color w:val="231F20"/>
          <w:lang w:val="en-US"/>
        </w:rPr>
        <w:t>Children’s Social Care</w:t>
      </w:r>
    </w:p>
    <w:p w14:paraId="26173136" w14:textId="62C79E3C" w:rsidR="00250FAC" w:rsidRDefault="00250FAC"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CBMDC Education Services</w:t>
      </w:r>
    </w:p>
    <w:p w14:paraId="044A9AC2" w14:textId="0E01EF43" w:rsidR="00250FAC" w:rsidRDefault="00250FAC"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CBMDC Public Health</w:t>
      </w:r>
    </w:p>
    <w:p w14:paraId="2FDE4790" w14:textId="3CBF547F" w:rsidR="00BC32A0" w:rsidRDefault="00BC32A0"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Bradford Council Commissioning</w:t>
      </w:r>
    </w:p>
    <w:p w14:paraId="7D6C3F24" w14:textId="13194EE7" w:rsidR="00BC32A0" w:rsidRDefault="00BC32A0"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Bradford Council Early Help Service</w:t>
      </w:r>
    </w:p>
    <w:p w14:paraId="77665191" w14:textId="2A692643" w:rsidR="00BA60B3" w:rsidRDefault="00BA60B3"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Bradford Children’s Safeguarding Board</w:t>
      </w:r>
    </w:p>
    <w:p w14:paraId="6A5A6F35" w14:textId="1EEDA24C" w:rsidR="00BA60B3" w:rsidRDefault="00BA60B3"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Clinical Commissioning Groups</w:t>
      </w:r>
    </w:p>
    <w:p w14:paraId="2B73974F" w14:textId="77777777" w:rsidR="00BC32A0" w:rsidRDefault="00BC32A0"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Bradford Teaching Hospital Foundation Trust</w:t>
      </w:r>
    </w:p>
    <w:p w14:paraId="2FF658BA" w14:textId="18B6977D" w:rsidR="00BC32A0" w:rsidRDefault="00BC32A0"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Airedale Hospital Foundation Trust</w:t>
      </w:r>
    </w:p>
    <w:p w14:paraId="62D84980" w14:textId="1F0E57CA" w:rsidR="00BC32A0" w:rsidRDefault="00BC32A0"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 xml:space="preserve">Bradford District Care </w:t>
      </w:r>
      <w:r w:rsidR="00250FAC">
        <w:rPr>
          <w:rFonts w:cs="Arial"/>
          <w:color w:val="231F20"/>
          <w:lang w:val="en-US"/>
        </w:rPr>
        <w:t xml:space="preserve">NHS Foundation </w:t>
      </w:r>
      <w:r>
        <w:rPr>
          <w:rFonts w:cs="Arial"/>
          <w:color w:val="231F20"/>
          <w:lang w:val="en-US"/>
        </w:rPr>
        <w:t>Trust</w:t>
      </w:r>
      <w:r>
        <w:rPr>
          <w:rFonts w:cs="Arial"/>
          <w:color w:val="231F20"/>
          <w:lang w:val="en-US"/>
        </w:rPr>
        <w:tab/>
      </w:r>
    </w:p>
    <w:p w14:paraId="1E888DDE" w14:textId="470F27B8" w:rsidR="00BC32A0" w:rsidRDefault="00BC32A0"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West Yorkshire Police</w:t>
      </w:r>
    </w:p>
    <w:p w14:paraId="22A5A1F6" w14:textId="45E012CE" w:rsidR="00BA60B3" w:rsidRPr="00BC32A0" w:rsidRDefault="00BC32A0" w:rsidP="004A31C3">
      <w:pPr>
        <w:pStyle w:val="ListParagraph"/>
        <w:numPr>
          <w:ilvl w:val="0"/>
          <w:numId w:val="8"/>
        </w:numPr>
        <w:autoSpaceDE w:val="0"/>
        <w:autoSpaceDN w:val="0"/>
        <w:adjustRightInd w:val="0"/>
        <w:spacing w:after="37"/>
        <w:contextualSpacing w:val="0"/>
        <w:rPr>
          <w:rFonts w:cs="Arial"/>
          <w:color w:val="231F20"/>
          <w:lang w:val="en-US"/>
        </w:rPr>
      </w:pPr>
      <w:r>
        <w:rPr>
          <w:rFonts w:cs="Arial"/>
          <w:color w:val="231F20"/>
          <w:lang w:val="en-US"/>
        </w:rPr>
        <w:t>Voluntary and Community Sector Services</w:t>
      </w:r>
    </w:p>
    <w:p w14:paraId="1AE17649" w14:textId="77777777" w:rsidR="00D90CF9" w:rsidRDefault="00D90CF9" w:rsidP="00DE5040">
      <w:pPr>
        <w:spacing w:after="0"/>
        <w:rPr>
          <w:rFonts w:ascii="Arial" w:hAnsi="Arial" w:cs="Arial"/>
          <w:b/>
          <w:sz w:val="20"/>
          <w:szCs w:val="20"/>
        </w:rPr>
      </w:pPr>
    </w:p>
    <w:p w14:paraId="040B5430" w14:textId="29305F7D" w:rsidR="00DE5040" w:rsidRPr="005E35AE" w:rsidRDefault="00DE5040" w:rsidP="00DE5040">
      <w:pPr>
        <w:spacing w:after="0"/>
      </w:pPr>
      <w:r w:rsidRPr="005E35AE">
        <w:t xml:space="preserve">The Group may co-opt additional or specialist members as required for </w:t>
      </w:r>
      <w:r w:rsidR="003026F2">
        <w:t>the purposes of specific pieces of work</w:t>
      </w:r>
      <w:r w:rsidRPr="005E35AE">
        <w:t>.</w:t>
      </w:r>
    </w:p>
    <w:p w14:paraId="41A96CBC" w14:textId="77777777" w:rsidR="00350E9C" w:rsidRPr="005E35AE" w:rsidRDefault="00350E9C" w:rsidP="00350E9C">
      <w:r w:rsidRPr="005E35AE">
        <w:t>The current list of named representatives is shown at appendix 1</w:t>
      </w:r>
    </w:p>
    <w:p w14:paraId="0C4626E0" w14:textId="77777777" w:rsidR="00CA1FB6" w:rsidRDefault="00CA1FB6" w:rsidP="00DE5040">
      <w:pPr>
        <w:spacing w:after="0"/>
        <w:rPr>
          <w:b/>
        </w:rPr>
      </w:pPr>
    </w:p>
    <w:p w14:paraId="1BBD4416" w14:textId="77777777" w:rsidR="00DE5040" w:rsidRPr="005E35AE" w:rsidRDefault="00DE5040" w:rsidP="00DE5040">
      <w:pPr>
        <w:spacing w:after="0"/>
        <w:rPr>
          <w:b/>
        </w:rPr>
      </w:pPr>
      <w:r w:rsidRPr="005E35AE">
        <w:rPr>
          <w:b/>
        </w:rPr>
        <w:t xml:space="preserve">Operational arrangements </w:t>
      </w:r>
    </w:p>
    <w:p w14:paraId="46E9C706" w14:textId="36C9FEA3" w:rsidR="00DE5040" w:rsidRPr="005E35AE" w:rsidRDefault="00DE5040" w:rsidP="004A31C3">
      <w:pPr>
        <w:pStyle w:val="ListParagraph"/>
        <w:numPr>
          <w:ilvl w:val="0"/>
          <w:numId w:val="9"/>
        </w:numPr>
        <w:autoSpaceDE w:val="0"/>
        <w:autoSpaceDN w:val="0"/>
        <w:adjustRightInd w:val="0"/>
        <w:spacing w:after="37"/>
        <w:contextualSpacing w:val="0"/>
        <w:rPr>
          <w:rFonts w:cs="Arial"/>
          <w:color w:val="000000"/>
        </w:rPr>
      </w:pPr>
      <w:r w:rsidRPr="005E35AE">
        <w:rPr>
          <w:rFonts w:cs="Arial"/>
          <w:color w:val="000000"/>
        </w:rPr>
        <w:t>The Group will select its own chair and deputy chair. The Chairperson automat</w:t>
      </w:r>
      <w:r w:rsidR="00250FAC">
        <w:rPr>
          <w:rFonts w:cs="Arial"/>
          <w:color w:val="000000"/>
        </w:rPr>
        <w:t>ically becomes a member of B</w:t>
      </w:r>
      <w:r w:rsidRPr="005E35AE">
        <w:rPr>
          <w:rFonts w:cs="Arial"/>
          <w:color w:val="000000"/>
        </w:rPr>
        <w:t>SCB.</w:t>
      </w:r>
    </w:p>
    <w:p w14:paraId="11851284" w14:textId="77777777" w:rsidR="00DE5040" w:rsidRPr="005E35AE" w:rsidRDefault="00DE5040" w:rsidP="004A31C3">
      <w:pPr>
        <w:pStyle w:val="ListParagraph"/>
        <w:numPr>
          <w:ilvl w:val="0"/>
          <w:numId w:val="9"/>
        </w:numPr>
        <w:autoSpaceDE w:val="0"/>
        <w:autoSpaceDN w:val="0"/>
        <w:adjustRightInd w:val="0"/>
        <w:spacing w:after="37"/>
        <w:contextualSpacing w:val="0"/>
        <w:rPr>
          <w:rFonts w:cs="Arial"/>
          <w:color w:val="000000"/>
        </w:rPr>
      </w:pPr>
      <w:r w:rsidRPr="005E35AE">
        <w:rPr>
          <w:rFonts w:cs="Arial"/>
          <w:color w:val="000000"/>
        </w:rPr>
        <w:lastRenderedPageBreak/>
        <w:t>Meetings will be regarded as quorate or otherwise, in the light of material to be considered and decisions to be taken, at the discretion of the Chair.</w:t>
      </w:r>
    </w:p>
    <w:p w14:paraId="3924038E" w14:textId="77777777" w:rsidR="00DE5040" w:rsidRPr="005E35AE" w:rsidRDefault="00DE5040" w:rsidP="004A31C3">
      <w:pPr>
        <w:pStyle w:val="ListParagraph"/>
        <w:numPr>
          <w:ilvl w:val="0"/>
          <w:numId w:val="9"/>
        </w:numPr>
        <w:autoSpaceDE w:val="0"/>
        <w:autoSpaceDN w:val="0"/>
        <w:adjustRightInd w:val="0"/>
        <w:spacing w:after="37"/>
        <w:contextualSpacing w:val="0"/>
        <w:rPr>
          <w:rFonts w:cs="Arial"/>
          <w:color w:val="000000"/>
        </w:rPr>
      </w:pPr>
      <w:r w:rsidRPr="005E35AE">
        <w:rPr>
          <w:rFonts w:cs="Arial"/>
          <w:color w:val="000000"/>
        </w:rPr>
        <w:t xml:space="preserve">Standing meetings of this Sub Group will be held bi-monthly and additionally as required. </w:t>
      </w:r>
    </w:p>
    <w:p w14:paraId="35A941DE" w14:textId="77777777" w:rsidR="00DE5040" w:rsidRPr="005E35AE" w:rsidRDefault="00DE5040" w:rsidP="004A31C3">
      <w:pPr>
        <w:pStyle w:val="ListParagraph"/>
        <w:numPr>
          <w:ilvl w:val="0"/>
          <w:numId w:val="9"/>
        </w:numPr>
        <w:autoSpaceDE w:val="0"/>
        <w:autoSpaceDN w:val="0"/>
        <w:adjustRightInd w:val="0"/>
        <w:spacing w:after="37"/>
        <w:contextualSpacing w:val="0"/>
        <w:rPr>
          <w:rFonts w:cs="Arial"/>
          <w:color w:val="000000"/>
        </w:rPr>
      </w:pPr>
      <w:r w:rsidRPr="005E35AE">
        <w:rPr>
          <w:rFonts w:cs="Arial"/>
          <w:color w:val="000000"/>
        </w:rPr>
        <w:t>Administrative support will be provided by BSCB. Agendas and associated papers will be circulated at least 7 days in advance of the meeting.</w:t>
      </w:r>
    </w:p>
    <w:p w14:paraId="3950AEFA" w14:textId="77777777" w:rsidR="00DE5040" w:rsidRPr="005E35AE" w:rsidRDefault="00DE5040" w:rsidP="00DE5040">
      <w:pPr>
        <w:autoSpaceDE w:val="0"/>
        <w:autoSpaceDN w:val="0"/>
        <w:adjustRightInd w:val="0"/>
        <w:spacing w:after="0" w:line="240" w:lineRule="auto"/>
        <w:rPr>
          <w:rFonts w:cs="Trebuchet MS"/>
          <w:color w:val="000000"/>
        </w:rPr>
      </w:pPr>
    </w:p>
    <w:p w14:paraId="3C453D24" w14:textId="77777777" w:rsidR="00CA1FB6" w:rsidRDefault="00CA1FB6" w:rsidP="00DE5040">
      <w:pPr>
        <w:spacing w:after="0"/>
        <w:rPr>
          <w:b/>
        </w:rPr>
      </w:pPr>
    </w:p>
    <w:p w14:paraId="675571AD" w14:textId="77777777" w:rsidR="00DE5040" w:rsidRPr="005E35AE" w:rsidRDefault="00DE5040" w:rsidP="00DE5040">
      <w:pPr>
        <w:spacing w:after="0"/>
        <w:rPr>
          <w:b/>
        </w:rPr>
      </w:pPr>
      <w:r w:rsidRPr="005E35AE">
        <w:rPr>
          <w:b/>
        </w:rPr>
        <w:t xml:space="preserve">Voice of the child </w:t>
      </w:r>
    </w:p>
    <w:p w14:paraId="6E0D9585" w14:textId="77777777" w:rsidR="00B53421" w:rsidRDefault="00B53421" w:rsidP="00B53421">
      <w:pPr>
        <w:spacing w:after="0"/>
      </w:pPr>
      <w:r>
        <w:t xml:space="preserve">Bradford SCB is committed to listening to the views of children and young people who use services and benefit from our protocols. We will involve them wherever possible in identifying needs and in planning, developing and improving policy and training. </w:t>
      </w:r>
    </w:p>
    <w:p w14:paraId="44793B2E" w14:textId="77777777" w:rsidR="00DE5040" w:rsidRPr="005E35AE" w:rsidRDefault="00DE5040" w:rsidP="00DE5040">
      <w:pPr>
        <w:autoSpaceDE w:val="0"/>
        <w:autoSpaceDN w:val="0"/>
        <w:adjustRightInd w:val="0"/>
        <w:spacing w:after="0" w:line="240" w:lineRule="auto"/>
        <w:rPr>
          <w:rFonts w:cs="Trebuchet MS"/>
          <w:color w:val="000000"/>
        </w:rPr>
      </w:pPr>
    </w:p>
    <w:p w14:paraId="79E02C20" w14:textId="77777777" w:rsidR="00350E9C" w:rsidRPr="005E35AE" w:rsidRDefault="00350E9C" w:rsidP="00B46DF8">
      <w:pPr>
        <w:spacing w:after="0"/>
        <w:rPr>
          <w:b/>
        </w:rPr>
      </w:pPr>
      <w:r w:rsidRPr="005E35AE">
        <w:rPr>
          <w:b/>
        </w:rPr>
        <w:t xml:space="preserve">Reporting and Governance Arrangements </w:t>
      </w:r>
    </w:p>
    <w:p w14:paraId="2809AE5A" w14:textId="77777777" w:rsidR="00350E9C" w:rsidRPr="005E35AE" w:rsidRDefault="00350E9C" w:rsidP="00A6605C">
      <w:r w:rsidRPr="005E35AE">
        <w:t xml:space="preserve">Through its chair the Sub Group will: </w:t>
      </w:r>
    </w:p>
    <w:p w14:paraId="286674B3" w14:textId="0F6A59B4" w:rsidR="003A296F" w:rsidRPr="003026F2" w:rsidRDefault="00F979CD" w:rsidP="004A31C3">
      <w:pPr>
        <w:pStyle w:val="ListParagraph"/>
        <w:numPr>
          <w:ilvl w:val="0"/>
          <w:numId w:val="10"/>
        </w:numPr>
        <w:autoSpaceDE w:val="0"/>
        <w:autoSpaceDN w:val="0"/>
        <w:adjustRightInd w:val="0"/>
        <w:spacing w:after="37"/>
        <w:contextualSpacing w:val="0"/>
        <w:rPr>
          <w:rFonts w:cs="Trebuchet MS"/>
          <w:color w:val="000000"/>
        </w:rPr>
      </w:pPr>
      <w:r w:rsidRPr="003026F2">
        <w:rPr>
          <w:rFonts w:cs="Trebuchet MS"/>
          <w:color w:val="000000"/>
        </w:rPr>
        <w:t>Provide a highlight r</w:t>
      </w:r>
      <w:r w:rsidR="00350E9C" w:rsidRPr="003026F2">
        <w:rPr>
          <w:rFonts w:cs="Trebuchet MS"/>
          <w:color w:val="000000"/>
        </w:rPr>
        <w:t xml:space="preserve">eport to </w:t>
      </w:r>
      <w:r w:rsidRPr="003026F2">
        <w:rPr>
          <w:rFonts w:cs="Trebuchet MS"/>
          <w:color w:val="000000"/>
        </w:rPr>
        <w:t>each (quarterly) meeting of the BSCB</w:t>
      </w:r>
      <w:r w:rsidR="00BC32A0" w:rsidRPr="003026F2">
        <w:rPr>
          <w:rFonts w:cs="Trebuchet MS"/>
          <w:color w:val="000000"/>
        </w:rPr>
        <w:t xml:space="preserve">. This will include a </w:t>
      </w:r>
      <w:r w:rsidR="00BC32A0" w:rsidRPr="003026F2">
        <w:rPr>
          <w:rFonts w:cs="Arial"/>
        </w:rPr>
        <w:t>scorecard</w:t>
      </w:r>
      <w:r w:rsidR="003A296F" w:rsidRPr="003026F2">
        <w:rPr>
          <w:rFonts w:cs="Arial"/>
        </w:rPr>
        <w:t xml:space="preserve"> </w:t>
      </w:r>
      <w:r w:rsidR="00BC32A0" w:rsidRPr="003026F2">
        <w:rPr>
          <w:rFonts w:cs="Arial"/>
        </w:rPr>
        <w:t>that</w:t>
      </w:r>
      <w:r w:rsidR="003A296F" w:rsidRPr="003026F2">
        <w:rPr>
          <w:rFonts w:cs="Arial"/>
        </w:rPr>
        <w:t xml:space="preserve"> reports on local and national indicators, benchmarking the partnership against </w:t>
      </w:r>
      <w:r w:rsidR="00664267" w:rsidRPr="003026F2">
        <w:rPr>
          <w:rFonts w:cs="Arial"/>
        </w:rPr>
        <w:t>other area</w:t>
      </w:r>
      <w:r w:rsidR="003A296F" w:rsidRPr="003026F2">
        <w:rPr>
          <w:rFonts w:cs="Arial"/>
        </w:rPr>
        <w:t>s and evidences the effectiveness of the work of each Board partner in relation to safeguarding and promoting the welfare of children.</w:t>
      </w:r>
    </w:p>
    <w:p w14:paraId="43B4335F" w14:textId="77777777" w:rsidR="00350E9C" w:rsidRPr="003026F2" w:rsidRDefault="00350E9C" w:rsidP="004A31C3">
      <w:pPr>
        <w:pStyle w:val="ListParagraph"/>
        <w:numPr>
          <w:ilvl w:val="0"/>
          <w:numId w:val="10"/>
        </w:numPr>
        <w:autoSpaceDE w:val="0"/>
        <w:autoSpaceDN w:val="0"/>
        <w:adjustRightInd w:val="0"/>
        <w:spacing w:after="37"/>
        <w:contextualSpacing w:val="0"/>
        <w:rPr>
          <w:rFonts w:cs="Trebuchet MS"/>
          <w:color w:val="000000"/>
        </w:rPr>
      </w:pPr>
      <w:r w:rsidRPr="003026F2">
        <w:rPr>
          <w:rFonts w:cs="Trebuchet MS"/>
          <w:color w:val="000000"/>
        </w:rPr>
        <w:t xml:space="preserve">Review the business/work plan annually </w:t>
      </w:r>
    </w:p>
    <w:p w14:paraId="7323A7B0" w14:textId="77777777" w:rsidR="00350E9C" w:rsidRPr="005E35AE" w:rsidRDefault="00350E9C" w:rsidP="004A31C3">
      <w:pPr>
        <w:pStyle w:val="ListParagraph"/>
        <w:numPr>
          <w:ilvl w:val="0"/>
          <w:numId w:val="10"/>
        </w:numPr>
        <w:autoSpaceDE w:val="0"/>
        <w:autoSpaceDN w:val="0"/>
        <w:adjustRightInd w:val="0"/>
        <w:spacing w:after="37"/>
        <w:contextualSpacing w:val="0"/>
        <w:rPr>
          <w:rFonts w:cs="Trebuchet MS"/>
          <w:color w:val="000000"/>
        </w:rPr>
      </w:pPr>
      <w:r w:rsidRPr="003026F2">
        <w:rPr>
          <w:rFonts w:cs="Trebuchet MS"/>
          <w:color w:val="000000"/>
        </w:rPr>
        <w:t>Produce an annual report which</w:t>
      </w:r>
      <w:r w:rsidR="00F979CD" w:rsidRPr="003026F2">
        <w:rPr>
          <w:rFonts w:cs="Trebuchet MS"/>
          <w:color w:val="000000"/>
        </w:rPr>
        <w:t xml:space="preserve"> will be</w:t>
      </w:r>
      <w:r w:rsidR="00F979CD" w:rsidRPr="005E35AE">
        <w:rPr>
          <w:rFonts w:cs="Trebuchet MS"/>
          <w:color w:val="000000"/>
        </w:rPr>
        <w:t xml:space="preserve"> incorporated into the B</w:t>
      </w:r>
      <w:r w:rsidRPr="005E35AE">
        <w:rPr>
          <w:rFonts w:cs="Trebuchet MS"/>
          <w:color w:val="000000"/>
        </w:rPr>
        <w:t xml:space="preserve">SCB Annual Report </w:t>
      </w:r>
    </w:p>
    <w:p w14:paraId="39E50585" w14:textId="5F86B8D3" w:rsidR="00350E9C" w:rsidRPr="005E35AE" w:rsidRDefault="00350E9C" w:rsidP="004A31C3">
      <w:pPr>
        <w:pStyle w:val="ListParagraph"/>
        <w:numPr>
          <w:ilvl w:val="0"/>
          <w:numId w:val="10"/>
        </w:numPr>
        <w:autoSpaceDE w:val="0"/>
        <w:autoSpaceDN w:val="0"/>
        <w:adjustRightInd w:val="0"/>
        <w:spacing w:after="37"/>
        <w:contextualSpacing w:val="0"/>
        <w:rPr>
          <w:rFonts w:cs="Trebuchet MS"/>
          <w:color w:val="000000"/>
        </w:rPr>
      </w:pPr>
      <w:r w:rsidRPr="005E35AE">
        <w:rPr>
          <w:rFonts w:cs="Trebuchet MS"/>
          <w:color w:val="000000"/>
        </w:rPr>
        <w:t>Review the Terms of Reference every 3 years (unless appropriate do sooner)</w:t>
      </w:r>
      <w:r w:rsidR="00250FAC">
        <w:rPr>
          <w:rFonts w:cs="Trebuchet MS"/>
          <w:color w:val="000000"/>
        </w:rPr>
        <w:t xml:space="preserve"> and propose amendments to B</w:t>
      </w:r>
      <w:r w:rsidRPr="005E35AE">
        <w:rPr>
          <w:rFonts w:cs="Trebuchet MS"/>
          <w:color w:val="000000"/>
        </w:rPr>
        <w:t xml:space="preserve">SCB </w:t>
      </w:r>
    </w:p>
    <w:p w14:paraId="22119F74" w14:textId="77777777" w:rsidR="00F979CD" w:rsidRPr="005E35AE" w:rsidRDefault="00F979CD" w:rsidP="00350E9C">
      <w:pPr>
        <w:autoSpaceDE w:val="0"/>
        <w:autoSpaceDN w:val="0"/>
        <w:adjustRightInd w:val="0"/>
        <w:spacing w:after="0" w:line="240" w:lineRule="auto"/>
        <w:rPr>
          <w:rFonts w:cs="Arial"/>
          <w:b/>
          <w:bCs/>
          <w:color w:val="000000"/>
        </w:rPr>
      </w:pPr>
    </w:p>
    <w:p w14:paraId="191EDA58" w14:textId="77777777" w:rsidR="00350E9C" w:rsidRPr="005E35AE" w:rsidRDefault="00350E9C" w:rsidP="00B46DF8">
      <w:pPr>
        <w:spacing w:after="0"/>
        <w:rPr>
          <w:b/>
        </w:rPr>
      </w:pPr>
      <w:r w:rsidRPr="005E35AE">
        <w:rPr>
          <w:b/>
        </w:rPr>
        <w:t xml:space="preserve">Dispute </w:t>
      </w:r>
    </w:p>
    <w:p w14:paraId="4FAB1418" w14:textId="56A8F699" w:rsidR="00350E9C" w:rsidRPr="005E35AE" w:rsidRDefault="00350E9C" w:rsidP="00A6605C">
      <w:r w:rsidRPr="005E35AE">
        <w:t>In the event of a dispute or conflict of interest arising between agencies across or within groups, which cannot be resolved, the Chair will dra</w:t>
      </w:r>
      <w:r w:rsidR="00250FAC">
        <w:t>w this to the attention of the B</w:t>
      </w:r>
      <w:r w:rsidRPr="005E35AE">
        <w:t>SCB Chair for appropriate</w:t>
      </w:r>
      <w:r w:rsidR="000C389A">
        <w:t xml:space="preserve"> action and the B</w:t>
      </w:r>
      <w:r w:rsidRPr="005E35AE">
        <w:t xml:space="preserve">SCB Escalation Policy for Resolving Professional Disagreements will be invoked. </w:t>
      </w:r>
    </w:p>
    <w:p w14:paraId="712ECA69" w14:textId="77777777" w:rsidR="00F979CD" w:rsidRPr="005E35AE" w:rsidRDefault="00F979CD" w:rsidP="00350E9C">
      <w:pPr>
        <w:autoSpaceDE w:val="0"/>
        <w:autoSpaceDN w:val="0"/>
        <w:adjustRightInd w:val="0"/>
        <w:spacing w:after="0" w:line="240" w:lineRule="auto"/>
        <w:rPr>
          <w:rFonts w:cs="Arial"/>
          <w:color w:val="000000"/>
        </w:rPr>
      </w:pPr>
    </w:p>
    <w:p w14:paraId="2B181B5A" w14:textId="77777777" w:rsidR="00350E9C" w:rsidRPr="005E35AE" w:rsidRDefault="00350E9C" w:rsidP="00350E9C">
      <w:pPr>
        <w:autoSpaceDE w:val="0"/>
        <w:autoSpaceDN w:val="0"/>
        <w:adjustRightInd w:val="0"/>
        <w:spacing w:after="0" w:line="240" w:lineRule="auto"/>
        <w:rPr>
          <w:rFonts w:cs="Arial"/>
          <w:color w:val="000000"/>
        </w:rPr>
      </w:pPr>
      <w:r w:rsidRPr="005E35AE">
        <w:rPr>
          <w:b/>
        </w:rPr>
        <w:t>Date</w:t>
      </w:r>
      <w:r w:rsidR="00F979CD" w:rsidRPr="005E35AE">
        <w:rPr>
          <w:b/>
        </w:rPr>
        <w:t xml:space="preserve"> agreed</w:t>
      </w:r>
      <w:r w:rsidRPr="005E35AE">
        <w:rPr>
          <w:b/>
        </w:rPr>
        <w:t>:</w:t>
      </w:r>
      <w:r w:rsidRPr="005E35AE">
        <w:rPr>
          <w:rFonts w:cs="Arial"/>
          <w:b/>
          <w:bCs/>
          <w:color w:val="000000"/>
        </w:rPr>
        <w:t xml:space="preserve"> </w:t>
      </w:r>
    </w:p>
    <w:p w14:paraId="56DE1340" w14:textId="77777777" w:rsidR="00E91A2B" w:rsidRPr="005E35AE" w:rsidRDefault="00350E9C" w:rsidP="00350E9C">
      <w:r w:rsidRPr="005E35AE">
        <w:rPr>
          <w:b/>
        </w:rPr>
        <w:t>Date to be reviewed:</w:t>
      </w:r>
      <w:r w:rsidRPr="005E35AE">
        <w:rPr>
          <w:rFonts w:cs="Arial"/>
          <w:b/>
          <w:bCs/>
          <w:color w:val="000000"/>
        </w:rPr>
        <w:t xml:space="preserve"> </w:t>
      </w:r>
    </w:p>
    <w:p w14:paraId="20956A00" w14:textId="77777777" w:rsidR="00E91A2B" w:rsidRPr="005E35AE" w:rsidRDefault="00E91A2B">
      <w:r w:rsidRPr="005E35AE">
        <w:br w:type="page"/>
      </w:r>
    </w:p>
    <w:p w14:paraId="1F103D1F" w14:textId="77777777" w:rsidR="00350E9C" w:rsidRPr="005E35AE" w:rsidRDefault="00E91A2B" w:rsidP="00350E9C">
      <w:pPr>
        <w:rPr>
          <w:b/>
        </w:rPr>
      </w:pPr>
      <w:r w:rsidRPr="005E35AE">
        <w:rPr>
          <w:b/>
        </w:rPr>
        <w:lastRenderedPageBreak/>
        <w:t>Appendix</w:t>
      </w:r>
      <w:r w:rsidR="00DE5040" w:rsidRPr="005E35AE">
        <w:rPr>
          <w:b/>
        </w:rPr>
        <w:t xml:space="preserve"> 1</w:t>
      </w:r>
    </w:p>
    <w:p w14:paraId="4D058DCD" w14:textId="77777777" w:rsidR="00E91A2B" w:rsidRPr="005E35AE" w:rsidRDefault="00B46DF8" w:rsidP="00350E9C">
      <w:pPr>
        <w:rPr>
          <w:b/>
        </w:rPr>
      </w:pPr>
      <w:r w:rsidRPr="005E35AE">
        <w:rPr>
          <w:b/>
        </w:rPr>
        <w:t>Current agency representation</w:t>
      </w:r>
    </w:p>
    <w:tbl>
      <w:tblPr>
        <w:tblStyle w:val="TableGrid"/>
        <w:tblW w:w="0" w:type="auto"/>
        <w:tblLook w:val="04A0" w:firstRow="1" w:lastRow="0" w:firstColumn="1" w:lastColumn="0" w:noHBand="0" w:noVBand="1"/>
      </w:tblPr>
      <w:tblGrid>
        <w:gridCol w:w="3652"/>
        <w:gridCol w:w="2410"/>
        <w:gridCol w:w="3180"/>
      </w:tblGrid>
      <w:tr w:rsidR="00B46DF8" w:rsidRPr="005E35AE" w14:paraId="324DB768" w14:textId="77777777" w:rsidTr="00174C06">
        <w:tc>
          <w:tcPr>
            <w:tcW w:w="3652" w:type="dxa"/>
          </w:tcPr>
          <w:p w14:paraId="691DCC82" w14:textId="77777777" w:rsidR="00B46DF8" w:rsidRPr="00174C06" w:rsidRDefault="00B46DF8" w:rsidP="00350E9C">
            <w:pPr>
              <w:rPr>
                <w:b/>
              </w:rPr>
            </w:pPr>
            <w:r w:rsidRPr="00174C06">
              <w:rPr>
                <w:b/>
              </w:rPr>
              <w:t>Organisation</w:t>
            </w:r>
          </w:p>
        </w:tc>
        <w:tc>
          <w:tcPr>
            <w:tcW w:w="2410" w:type="dxa"/>
          </w:tcPr>
          <w:p w14:paraId="373B8BAA" w14:textId="77777777" w:rsidR="00B46DF8" w:rsidRPr="00174C06" w:rsidRDefault="00B46DF8" w:rsidP="00350E9C">
            <w:pPr>
              <w:rPr>
                <w:b/>
              </w:rPr>
            </w:pPr>
            <w:r w:rsidRPr="00174C06">
              <w:rPr>
                <w:b/>
              </w:rPr>
              <w:t>Name</w:t>
            </w:r>
          </w:p>
        </w:tc>
        <w:tc>
          <w:tcPr>
            <w:tcW w:w="3180" w:type="dxa"/>
          </w:tcPr>
          <w:p w14:paraId="0269DCF1" w14:textId="77777777" w:rsidR="00B46DF8" w:rsidRPr="00174C06" w:rsidRDefault="00B46DF8" w:rsidP="00350E9C">
            <w:pPr>
              <w:rPr>
                <w:b/>
              </w:rPr>
            </w:pPr>
            <w:r w:rsidRPr="00174C06">
              <w:rPr>
                <w:b/>
              </w:rPr>
              <w:t>Role</w:t>
            </w:r>
          </w:p>
        </w:tc>
      </w:tr>
      <w:tr w:rsidR="005E35AE" w:rsidRPr="005E35AE" w14:paraId="3C957251" w14:textId="77777777" w:rsidTr="00174C06">
        <w:tc>
          <w:tcPr>
            <w:tcW w:w="3652" w:type="dxa"/>
          </w:tcPr>
          <w:p w14:paraId="205BFD95" w14:textId="726B1198" w:rsidR="005E35AE" w:rsidRDefault="003155D8" w:rsidP="00235B47">
            <w:pPr>
              <w:spacing w:after="200"/>
              <w:contextualSpacing/>
            </w:pPr>
            <w:r>
              <w:t>CBMDC</w:t>
            </w:r>
            <w:r w:rsidR="00AD788A">
              <w:t xml:space="preserve">:  </w:t>
            </w:r>
            <w:r w:rsidR="00250FAC">
              <w:t xml:space="preserve"> Children’s Services</w:t>
            </w:r>
          </w:p>
        </w:tc>
        <w:tc>
          <w:tcPr>
            <w:tcW w:w="2410" w:type="dxa"/>
          </w:tcPr>
          <w:p w14:paraId="041C01EB" w14:textId="38E56470" w:rsidR="005E35AE" w:rsidRDefault="00235B47" w:rsidP="00235B47">
            <w:pPr>
              <w:spacing w:after="200"/>
              <w:contextualSpacing/>
            </w:pPr>
            <w:r>
              <w:t>Jane Booth</w:t>
            </w:r>
            <w:r w:rsidR="003155D8">
              <w:t xml:space="preserve"> (CHAIR)</w:t>
            </w:r>
          </w:p>
        </w:tc>
        <w:tc>
          <w:tcPr>
            <w:tcW w:w="3180" w:type="dxa"/>
          </w:tcPr>
          <w:p w14:paraId="41823E1B" w14:textId="14100E74" w:rsidR="005E35AE" w:rsidRPr="005E35AE" w:rsidRDefault="00235B47" w:rsidP="00235B47">
            <w:pPr>
              <w:spacing w:after="200"/>
              <w:contextualSpacing/>
            </w:pPr>
            <w:r>
              <w:t>Independent Chair &amp; Scrutiny Lead, BSCB</w:t>
            </w:r>
          </w:p>
        </w:tc>
      </w:tr>
      <w:tr w:rsidR="00235B47" w:rsidRPr="005E35AE" w14:paraId="68F97E53" w14:textId="77777777" w:rsidTr="00174C06">
        <w:tc>
          <w:tcPr>
            <w:tcW w:w="3652" w:type="dxa"/>
          </w:tcPr>
          <w:p w14:paraId="1EC45808" w14:textId="220EA69B" w:rsidR="00235B47" w:rsidRDefault="00235B47" w:rsidP="00235B47">
            <w:pPr>
              <w:contextualSpacing/>
            </w:pPr>
            <w:r>
              <w:t>CBMDC:  Children’s Services</w:t>
            </w:r>
          </w:p>
        </w:tc>
        <w:tc>
          <w:tcPr>
            <w:tcW w:w="2410" w:type="dxa"/>
          </w:tcPr>
          <w:p w14:paraId="6D71F562" w14:textId="271A4BBF" w:rsidR="00235B47" w:rsidRDefault="00235B47" w:rsidP="00235B47">
            <w:pPr>
              <w:contextualSpacing/>
            </w:pPr>
            <w:r>
              <w:t>Amandip Johal</w:t>
            </w:r>
          </w:p>
        </w:tc>
        <w:tc>
          <w:tcPr>
            <w:tcW w:w="3180" w:type="dxa"/>
          </w:tcPr>
          <w:p w14:paraId="47DF9F92" w14:textId="36D8A425" w:rsidR="00235B47" w:rsidRDefault="00235B47" w:rsidP="00235B47">
            <w:pPr>
              <w:contextualSpacing/>
            </w:pPr>
            <w:r>
              <w:t>Head of Service, Safeguarding &amp; Reviewing &amp; QA</w:t>
            </w:r>
          </w:p>
        </w:tc>
      </w:tr>
      <w:tr w:rsidR="00235B47" w:rsidRPr="005E35AE" w14:paraId="038FEAD9" w14:textId="77777777" w:rsidTr="00174C06">
        <w:tc>
          <w:tcPr>
            <w:tcW w:w="3652" w:type="dxa"/>
          </w:tcPr>
          <w:p w14:paraId="344FB8C7" w14:textId="77777777" w:rsidR="00235B47" w:rsidRDefault="00235B47" w:rsidP="00235B47">
            <w:pPr>
              <w:contextualSpacing/>
            </w:pPr>
          </w:p>
          <w:p w14:paraId="717084CE" w14:textId="77777777" w:rsidR="00235B47" w:rsidRDefault="00235B47" w:rsidP="00235B47">
            <w:pPr>
              <w:contextualSpacing/>
            </w:pPr>
            <w:r>
              <w:t>CBMDC:   Public Health</w:t>
            </w:r>
          </w:p>
        </w:tc>
        <w:tc>
          <w:tcPr>
            <w:tcW w:w="2410" w:type="dxa"/>
          </w:tcPr>
          <w:p w14:paraId="04A3BCDD" w14:textId="77777777" w:rsidR="00235B47" w:rsidRDefault="00235B47" w:rsidP="00235B47">
            <w:pPr>
              <w:contextualSpacing/>
            </w:pPr>
          </w:p>
          <w:p w14:paraId="18911EAA" w14:textId="77777777" w:rsidR="00235B47" w:rsidRDefault="00235B47" w:rsidP="00235B47">
            <w:pPr>
              <w:contextualSpacing/>
            </w:pPr>
            <w:r>
              <w:t>Jonathan Stansbie</w:t>
            </w:r>
          </w:p>
        </w:tc>
        <w:tc>
          <w:tcPr>
            <w:tcW w:w="3180" w:type="dxa"/>
          </w:tcPr>
          <w:p w14:paraId="125211F6" w14:textId="77777777" w:rsidR="00235B47" w:rsidRDefault="00235B47" w:rsidP="00235B47">
            <w:pPr>
              <w:contextualSpacing/>
            </w:pPr>
          </w:p>
          <w:p w14:paraId="7187D8AA" w14:textId="77777777" w:rsidR="00235B47" w:rsidRDefault="00235B47" w:rsidP="00235B47">
            <w:pPr>
              <w:contextualSpacing/>
            </w:pPr>
            <w:r>
              <w:t>Information Analyst</w:t>
            </w:r>
          </w:p>
        </w:tc>
      </w:tr>
      <w:tr w:rsidR="00235B47" w:rsidRPr="005E35AE" w14:paraId="4742E67B" w14:textId="77777777" w:rsidTr="00174C06">
        <w:tc>
          <w:tcPr>
            <w:tcW w:w="3652" w:type="dxa"/>
          </w:tcPr>
          <w:p w14:paraId="43312853" w14:textId="77777777" w:rsidR="00235B47" w:rsidRDefault="00235B47" w:rsidP="00235B47">
            <w:pPr>
              <w:spacing w:after="200"/>
              <w:contextualSpacing/>
            </w:pPr>
            <w:r>
              <w:t>Airedale NHS FT</w:t>
            </w:r>
          </w:p>
        </w:tc>
        <w:tc>
          <w:tcPr>
            <w:tcW w:w="2410" w:type="dxa"/>
          </w:tcPr>
          <w:p w14:paraId="4FE4D969" w14:textId="77777777" w:rsidR="00235B47" w:rsidRDefault="00235B47" w:rsidP="00235B47">
            <w:pPr>
              <w:spacing w:after="200"/>
              <w:contextualSpacing/>
            </w:pPr>
            <w:r>
              <w:t>Jill Asbury*</w:t>
            </w:r>
          </w:p>
        </w:tc>
        <w:tc>
          <w:tcPr>
            <w:tcW w:w="3180" w:type="dxa"/>
          </w:tcPr>
          <w:p w14:paraId="19756225" w14:textId="3FFC7C88" w:rsidR="00235B47" w:rsidRDefault="00235B47" w:rsidP="00235B47">
            <w:pPr>
              <w:spacing w:after="200"/>
              <w:contextualSpacing/>
            </w:pPr>
            <w:r>
              <w:t>Director of Nursing</w:t>
            </w:r>
          </w:p>
        </w:tc>
      </w:tr>
      <w:tr w:rsidR="00235B47" w:rsidRPr="005E35AE" w14:paraId="2CC35B84" w14:textId="77777777" w:rsidTr="00174C06">
        <w:tc>
          <w:tcPr>
            <w:tcW w:w="3652" w:type="dxa"/>
          </w:tcPr>
          <w:p w14:paraId="3892A8A1" w14:textId="77777777" w:rsidR="00235B47" w:rsidRDefault="00235B47" w:rsidP="00235B47">
            <w:pPr>
              <w:spacing w:after="200"/>
              <w:contextualSpacing/>
            </w:pPr>
            <w:r>
              <w:t>Bradford District Care FT</w:t>
            </w:r>
          </w:p>
        </w:tc>
        <w:tc>
          <w:tcPr>
            <w:tcW w:w="2410" w:type="dxa"/>
          </w:tcPr>
          <w:p w14:paraId="6D5C0339" w14:textId="77777777" w:rsidR="00235B47" w:rsidRDefault="00235B47" w:rsidP="00235B47">
            <w:pPr>
              <w:spacing w:after="200"/>
              <w:contextualSpacing/>
            </w:pPr>
            <w:r>
              <w:t>Alison Wright</w:t>
            </w:r>
          </w:p>
        </w:tc>
        <w:tc>
          <w:tcPr>
            <w:tcW w:w="3180" w:type="dxa"/>
          </w:tcPr>
          <w:p w14:paraId="7DF4A0A2" w14:textId="77777777" w:rsidR="00235B47" w:rsidRDefault="00235B47" w:rsidP="00235B47">
            <w:pPr>
              <w:spacing w:after="200"/>
              <w:contextualSpacing/>
            </w:pPr>
            <w:r>
              <w:t>Named Nurse</w:t>
            </w:r>
          </w:p>
        </w:tc>
      </w:tr>
      <w:tr w:rsidR="00235B47" w:rsidRPr="005E35AE" w14:paraId="099CD482" w14:textId="77777777" w:rsidTr="00174C06">
        <w:tc>
          <w:tcPr>
            <w:tcW w:w="3652" w:type="dxa"/>
          </w:tcPr>
          <w:p w14:paraId="5D9AA9BF" w14:textId="77777777" w:rsidR="00235B47" w:rsidRDefault="00235B47" w:rsidP="00235B47">
            <w:pPr>
              <w:spacing w:after="200"/>
              <w:contextualSpacing/>
            </w:pPr>
            <w:r>
              <w:t>Bradford Teaching Hospital FT</w:t>
            </w:r>
          </w:p>
        </w:tc>
        <w:tc>
          <w:tcPr>
            <w:tcW w:w="2410" w:type="dxa"/>
          </w:tcPr>
          <w:p w14:paraId="116EF994" w14:textId="77777777" w:rsidR="00235B47" w:rsidRDefault="00235B47" w:rsidP="00235B47">
            <w:pPr>
              <w:contextualSpacing/>
            </w:pPr>
            <w:r>
              <w:t>Jo Sims</w:t>
            </w:r>
          </w:p>
        </w:tc>
        <w:tc>
          <w:tcPr>
            <w:tcW w:w="3180" w:type="dxa"/>
          </w:tcPr>
          <w:p w14:paraId="69695989" w14:textId="77777777" w:rsidR="00235B47" w:rsidRDefault="00235B47" w:rsidP="00235B47">
            <w:pPr>
              <w:contextualSpacing/>
            </w:pPr>
            <w:r>
              <w:t>Named Doctor</w:t>
            </w:r>
          </w:p>
        </w:tc>
      </w:tr>
      <w:tr w:rsidR="00235B47" w:rsidRPr="005E35AE" w14:paraId="6AF5DB18" w14:textId="77777777" w:rsidTr="00174C06">
        <w:tc>
          <w:tcPr>
            <w:tcW w:w="3652" w:type="dxa"/>
          </w:tcPr>
          <w:p w14:paraId="60913CBE" w14:textId="77777777" w:rsidR="00235B47" w:rsidRDefault="00235B47" w:rsidP="00235B47">
            <w:pPr>
              <w:spacing w:after="200"/>
              <w:contextualSpacing/>
            </w:pPr>
            <w:r>
              <w:t>CBMDC:   Education Services</w:t>
            </w:r>
          </w:p>
        </w:tc>
        <w:tc>
          <w:tcPr>
            <w:tcW w:w="2410" w:type="dxa"/>
          </w:tcPr>
          <w:p w14:paraId="3ED423BC" w14:textId="77777777" w:rsidR="00235B47" w:rsidRDefault="00235B47" w:rsidP="00235B47">
            <w:pPr>
              <w:contextualSpacing/>
            </w:pPr>
            <w:r>
              <w:t>Ken Poucher</w:t>
            </w:r>
          </w:p>
          <w:p w14:paraId="6B6BAD8C" w14:textId="77777777" w:rsidR="00235B47" w:rsidRDefault="00235B47" w:rsidP="00235B47">
            <w:pPr>
              <w:contextualSpacing/>
            </w:pPr>
          </w:p>
        </w:tc>
        <w:tc>
          <w:tcPr>
            <w:tcW w:w="3180" w:type="dxa"/>
          </w:tcPr>
          <w:p w14:paraId="1CEDD44A" w14:textId="77777777" w:rsidR="00235B47" w:rsidRDefault="00235B47" w:rsidP="00235B47">
            <w:pPr>
              <w:contextualSpacing/>
            </w:pPr>
            <w:r>
              <w:t>Virtual School Head</w:t>
            </w:r>
          </w:p>
        </w:tc>
      </w:tr>
      <w:tr w:rsidR="00235B47" w:rsidRPr="005E35AE" w14:paraId="595AB068" w14:textId="77777777" w:rsidTr="00174C06">
        <w:tc>
          <w:tcPr>
            <w:tcW w:w="3652" w:type="dxa"/>
          </w:tcPr>
          <w:p w14:paraId="74E31B1B" w14:textId="77777777" w:rsidR="00235B47" w:rsidRDefault="00235B47" w:rsidP="00235B47">
            <w:pPr>
              <w:spacing w:after="200"/>
              <w:contextualSpacing/>
            </w:pPr>
            <w:r>
              <w:t>CBMDC:   YOT / Prevent &amp; Early Help</w:t>
            </w:r>
          </w:p>
        </w:tc>
        <w:tc>
          <w:tcPr>
            <w:tcW w:w="2410" w:type="dxa"/>
          </w:tcPr>
          <w:p w14:paraId="4793D085" w14:textId="77777777" w:rsidR="00235B47" w:rsidRDefault="00235B47" w:rsidP="00235B47">
            <w:pPr>
              <w:spacing w:after="200"/>
              <w:contextualSpacing/>
            </w:pPr>
            <w:r>
              <w:t>Sarah Griffin</w:t>
            </w:r>
          </w:p>
        </w:tc>
        <w:tc>
          <w:tcPr>
            <w:tcW w:w="3180" w:type="dxa"/>
          </w:tcPr>
          <w:p w14:paraId="0CB365F2" w14:textId="77777777" w:rsidR="00235B47" w:rsidRDefault="00235B47" w:rsidP="00235B47">
            <w:pPr>
              <w:spacing w:after="200"/>
              <w:contextualSpacing/>
            </w:pPr>
            <w:r>
              <w:t>Service Manager</w:t>
            </w:r>
          </w:p>
        </w:tc>
      </w:tr>
      <w:tr w:rsidR="00235B47" w:rsidRPr="005E35AE" w14:paraId="70D208D1" w14:textId="77777777" w:rsidTr="00174C06">
        <w:tc>
          <w:tcPr>
            <w:tcW w:w="3652" w:type="dxa"/>
          </w:tcPr>
          <w:p w14:paraId="072E682A" w14:textId="77777777" w:rsidR="00235B47" w:rsidRDefault="00235B47" w:rsidP="00235B47">
            <w:pPr>
              <w:spacing w:after="200"/>
              <w:contextualSpacing/>
            </w:pPr>
            <w:r>
              <w:t>CBMDC:  BSCB</w:t>
            </w:r>
          </w:p>
        </w:tc>
        <w:tc>
          <w:tcPr>
            <w:tcW w:w="2410" w:type="dxa"/>
          </w:tcPr>
          <w:p w14:paraId="1A5ED9B1" w14:textId="77777777" w:rsidR="00235B47" w:rsidRDefault="00235B47" w:rsidP="00235B47">
            <w:pPr>
              <w:spacing w:after="200"/>
              <w:contextualSpacing/>
            </w:pPr>
            <w:r>
              <w:t>Mark Griffin</w:t>
            </w:r>
          </w:p>
        </w:tc>
        <w:tc>
          <w:tcPr>
            <w:tcW w:w="3180" w:type="dxa"/>
          </w:tcPr>
          <w:p w14:paraId="43D22B40" w14:textId="77777777" w:rsidR="00235B47" w:rsidRPr="005E35AE" w:rsidRDefault="00235B47" w:rsidP="00235B47">
            <w:pPr>
              <w:spacing w:after="200"/>
              <w:contextualSpacing/>
            </w:pPr>
            <w:r>
              <w:t>Board Manager</w:t>
            </w:r>
          </w:p>
        </w:tc>
      </w:tr>
      <w:tr w:rsidR="00235B47" w:rsidRPr="005E35AE" w14:paraId="62018192" w14:textId="77777777" w:rsidTr="00174C06">
        <w:tc>
          <w:tcPr>
            <w:tcW w:w="3652" w:type="dxa"/>
          </w:tcPr>
          <w:p w14:paraId="44A94092" w14:textId="77777777" w:rsidR="00235B47" w:rsidRDefault="00235B47" w:rsidP="00235B47">
            <w:pPr>
              <w:contextualSpacing/>
            </w:pPr>
            <w:r>
              <w:t>CBMDC:  BSCB</w:t>
            </w:r>
          </w:p>
        </w:tc>
        <w:tc>
          <w:tcPr>
            <w:tcW w:w="2410" w:type="dxa"/>
          </w:tcPr>
          <w:p w14:paraId="2C1F0A9D" w14:textId="77777777" w:rsidR="00235B47" w:rsidRDefault="00235B47" w:rsidP="00235B47">
            <w:pPr>
              <w:contextualSpacing/>
            </w:pPr>
            <w:r>
              <w:t>Lawrence Bone</w:t>
            </w:r>
          </w:p>
        </w:tc>
        <w:tc>
          <w:tcPr>
            <w:tcW w:w="3180" w:type="dxa"/>
          </w:tcPr>
          <w:p w14:paraId="3DE70041" w14:textId="77777777" w:rsidR="00235B47" w:rsidRDefault="00235B47" w:rsidP="00235B47">
            <w:pPr>
              <w:contextualSpacing/>
            </w:pPr>
            <w:r>
              <w:t>Deputy Manager, BSCB</w:t>
            </w:r>
          </w:p>
        </w:tc>
      </w:tr>
      <w:tr w:rsidR="00235B47" w:rsidRPr="005E35AE" w14:paraId="409DD89A" w14:textId="77777777" w:rsidTr="00174C06">
        <w:tc>
          <w:tcPr>
            <w:tcW w:w="3652" w:type="dxa"/>
          </w:tcPr>
          <w:p w14:paraId="6ED4B493" w14:textId="77777777" w:rsidR="00235B47" w:rsidRDefault="00235B47" w:rsidP="00235B47">
            <w:pPr>
              <w:spacing w:after="200"/>
              <w:contextualSpacing/>
            </w:pPr>
            <w:r>
              <w:t>CBMDC:  BSCB</w:t>
            </w:r>
          </w:p>
        </w:tc>
        <w:tc>
          <w:tcPr>
            <w:tcW w:w="2410" w:type="dxa"/>
          </w:tcPr>
          <w:p w14:paraId="712052E0" w14:textId="77777777" w:rsidR="00235B47" w:rsidRDefault="00235B47" w:rsidP="00235B47">
            <w:pPr>
              <w:spacing w:after="200"/>
              <w:contextualSpacing/>
            </w:pPr>
            <w:r>
              <w:t>Saheed Khan</w:t>
            </w:r>
          </w:p>
        </w:tc>
        <w:tc>
          <w:tcPr>
            <w:tcW w:w="3180" w:type="dxa"/>
          </w:tcPr>
          <w:p w14:paraId="001855BD" w14:textId="77777777" w:rsidR="00235B47" w:rsidRPr="005E35AE" w:rsidRDefault="00235B47" w:rsidP="00235B47">
            <w:pPr>
              <w:spacing w:after="200"/>
              <w:contextualSpacing/>
            </w:pPr>
            <w:r>
              <w:t>Performance Officer</w:t>
            </w:r>
          </w:p>
        </w:tc>
      </w:tr>
      <w:tr w:rsidR="00235B47" w:rsidRPr="005E35AE" w14:paraId="074940CB" w14:textId="77777777" w:rsidTr="00174C06">
        <w:tc>
          <w:tcPr>
            <w:tcW w:w="3652" w:type="dxa"/>
          </w:tcPr>
          <w:p w14:paraId="028B547B" w14:textId="77777777" w:rsidR="00235B47" w:rsidRDefault="00235B47" w:rsidP="00235B47">
            <w:pPr>
              <w:spacing w:after="200"/>
              <w:contextualSpacing/>
            </w:pPr>
            <w:r>
              <w:t>CBMDC:  Children’s Services</w:t>
            </w:r>
          </w:p>
        </w:tc>
        <w:tc>
          <w:tcPr>
            <w:tcW w:w="2410" w:type="dxa"/>
          </w:tcPr>
          <w:p w14:paraId="3634AD34" w14:textId="77777777" w:rsidR="00235B47" w:rsidRDefault="00235B47" w:rsidP="00235B47">
            <w:pPr>
              <w:spacing w:after="200"/>
              <w:contextualSpacing/>
            </w:pPr>
            <w:r>
              <w:t>Jenny Cryer</w:t>
            </w:r>
          </w:p>
        </w:tc>
        <w:tc>
          <w:tcPr>
            <w:tcW w:w="3180" w:type="dxa"/>
          </w:tcPr>
          <w:p w14:paraId="1DE5786A" w14:textId="77777777" w:rsidR="00235B47" w:rsidRDefault="00235B47" w:rsidP="00235B47">
            <w:pPr>
              <w:spacing w:after="200"/>
              <w:contextualSpacing/>
            </w:pPr>
            <w:r>
              <w:t>Assistant Director. PC&amp;P</w:t>
            </w:r>
          </w:p>
        </w:tc>
      </w:tr>
      <w:tr w:rsidR="00235B47" w:rsidRPr="005E35AE" w14:paraId="136F10B1" w14:textId="77777777" w:rsidTr="00174C06">
        <w:tc>
          <w:tcPr>
            <w:tcW w:w="3652" w:type="dxa"/>
          </w:tcPr>
          <w:p w14:paraId="20476DC3" w14:textId="77777777" w:rsidR="00235B47" w:rsidRDefault="00235B47" w:rsidP="00235B47">
            <w:pPr>
              <w:contextualSpacing/>
            </w:pPr>
            <w:r>
              <w:t>CBMDC:  CSC</w:t>
            </w:r>
          </w:p>
        </w:tc>
        <w:tc>
          <w:tcPr>
            <w:tcW w:w="2410" w:type="dxa"/>
          </w:tcPr>
          <w:p w14:paraId="6F4A8649" w14:textId="77777777" w:rsidR="00235B47" w:rsidRDefault="00235B47" w:rsidP="00235B47">
            <w:pPr>
              <w:contextualSpacing/>
            </w:pPr>
            <w:r>
              <w:t>Mark Anslow</w:t>
            </w:r>
          </w:p>
        </w:tc>
        <w:tc>
          <w:tcPr>
            <w:tcW w:w="3180" w:type="dxa"/>
          </w:tcPr>
          <w:p w14:paraId="190EA46B" w14:textId="77777777" w:rsidR="00235B47" w:rsidRDefault="00235B47" w:rsidP="00235B47">
            <w:pPr>
              <w:contextualSpacing/>
            </w:pPr>
            <w:r>
              <w:t>Service Manager Clusters</w:t>
            </w:r>
          </w:p>
          <w:p w14:paraId="61C66720" w14:textId="77777777" w:rsidR="00235B47" w:rsidRDefault="00235B47" w:rsidP="00235B47">
            <w:pPr>
              <w:contextualSpacing/>
            </w:pPr>
          </w:p>
        </w:tc>
      </w:tr>
      <w:tr w:rsidR="00235B47" w:rsidRPr="005E35AE" w14:paraId="33E32708" w14:textId="77777777" w:rsidTr="00174C06">
        <w:tc>
          <w:tcPr>
            <w:tcW w:w="3652" w:type="dxa"/>
          </w:tcPr>
          <w:p w14:paraId="26E01684" w14:textId="77777777" w:rsidR="00235B47" w:rsidRDefault="00235B47" w:rsidP="00235B47">
            <w:pPr>
              <w:spacing w:after="200"/>
              <w:contextualSpacing/>
            </w:pPr>
            <w:r>
              <w:t>CBMDC:  CSC</w:t>
            </w:r>
          </w:p>
        </w:tc>
        <w:tc>
          <w:tcPr>
            <w:tcW w:w="2410" w:type="dxa"/>
          </w:tcPr>
          <w:p w14:paraId="7DCC92FA" w14:textId="77777777" w:rsidR="00235B47" w:rsidRDefault="00235B47" w:rsidP="00235B47">
            <w:pPr>
              <w:spacing w:after="200"/>
              <w:contextualSpacing/>
            </w:pPr>
            <w:r>
              <w:t>Sue Bell</w:t>
            </w:r>
          </w:p>
        </w:tc>
        <w:tc>
          <w:tcPr>
            <w:tcW w:w="3180" w:type="dxa"/>
          </w:tcPr>
          <w:p w14:paraId="2C2F7689" w14:textId="77777777" w:rsidR="00235B47" w:rsidRDefault="00235B47" w:rsidP="00235B47">
            <w:pPr>
              <w:spacing w:after="200"/>
              <w:contextualSpacing/>
            </w:pPr>
            <w:r>
              <w:t>Intelligence Officer</w:t>
            </w:r>
          </w:p>
        </w:tc>
      </w:tr>
      <w:tr w:rsidR="00235B47" w:rsidRPr="005E35AE" w14:paraId="4EDF1007" w14:textId="77777777" w:rsidTr="00174C06">
        <w:tc>
          <w:tcPr>
            <w:tcW w:w="3652" w:type="dxa"/>
          </w:tcPr>
          <w:p w14:paraId="2C5D3FC4" w14:textId="77777777" w:rsidR="00235B47" w:rsidRDefault="00235B47" w:rsidP="00235B47">
            <w:pPr>
              <w:spacing w:after="200"/>
              <w:contextualSpacing/>
            </w:pPr>
            <w:r>
              <w:t>CBMDC: Commissioning &amp; Contracts</w:t>
            </w:r>
          </w:p>
        </w:tc>
        <w:tc>
          <w:tcPr>
            <w:tcW w:w="2410" w:type="dxa"/>
          </w:tcPr>
          <w:p w14:paraId="1063FE39" w14:textId="7A309C29" w:rsidR="00235B47" w:rsidRDefault="00235B47" w:rsidP="00235B47">
            <w:pPr>
              <w:spacing w:after="200"/>
              <w:contextualSpacing/>
            </w:pPr>
          </w:p>
        </w:tc>
        <w:tc>
          <w:tcPr>
            <w:tcW w:w="3180" w:type="dxa"/>
          </w:tcPr>
          <w:p w14:paraId="671C9723" w14:textId="5ED10081" w:rsidR="00235B47" w:rsidRDefault="00235B47" w:rsidP="00235B47">
            <w:pPr>
              <w:spacing w:after="200"/>
              <w:contextualSpacing/>
            </w:pPr>
          </w:p>
        </w:tc>
      </w:tr>
      <w:tr w:rsidR="00235B47" w:rsidRPr="005E35AE" w14:paraId="17D6F7D9" w14:textId="77777777" w:rsidTr="00174C06">
        <w:tc>
          <w:tcPr>
            <w:tcW w:w="3652" w:type="dxa"/>
          </w:tcPr>
          <w:p w14:paraId="5E76AF1D" w14:textId="77777777" w:rsidR="00235B47" w:rsidRDefault="00235B47" w:rsidP="00235B47">
            <w:pPr>
              <w:spacing w:after="200"/>
              <w:contextualSpacing/>
            </w:pPr>
            <w:r>
              <w:t>CCGs</w:t>
            </w:r>
          </w:p>
        </w:tc>
        <w:tc>
          <w:tcPr>
            <w:tcW w:w="2410" w:type="dxa"/>
          </w:tcPr>
          <w:p w14:paraId="0A28CBD2" w14:textId="01C0DC1F" w:rsidR="00235B47" w:rsidRDefault="00D23709" w:rsidP="00235B47">
            <w:pPr>
              <w:spacing w:after="200"/>
              <w:contextualSpacing/>
            </w:pPr>
            <w:r>
              <w:t>Sue Thompson</w:t>
            </w:r>
          </w:p>
        </w:tc>
        <w:tc>
          <w:tcPr>
            <w:tcW w:w="3180" w:type="dxa"/>
          </w:tcPr>
          <w:p w14:paraId="5A1FFA6C" w14:textId="620275DC" w:rsidR="00235B47" w:rsidRPr="005E35AE" w:rsidRDefault="00235B47" w:rsidP="00235B47">
            <w:pPr>
              <w:spacing w:after="200"/>
              <w:contextualSpacing/>
            </w:pPr>
            <w:r>
              <w:t>Designated Nurse</w:t>
            </w:r>
          </w:p>
        </w:tc>
      </w:tr>
      <w:tr w:rsidR="00235B47" w:rsidRPr="005E35AE" w14:paraId="2E04DBE8" w14:textId="77777777" w:rsidTr="00174C06">
        <w:tc>
          <w:tcPr>
            <w:tcW w:w="3652" w:type="dxa"/>
          </w:tcPr>
          <w:p w14:paraId="2CEF07EA" w14:textId="77777777" w:rsidR="00235B47" w:rsidRDefault="00235B47" w:rsidP="00235B47">
            <w:pPr>
              <w:spacing w:after="200"/>
              <w:contextualSpacing/>
            </w:pPr>
            <w:r>
              <w:t>Voluntary Sector</w:t>
            </w:r>
          </w:p>
        </w:tc>
        <w:tc>
          <w:tcPr>
            <w:tcW w:w="2410" w:type="dxa"/>
          </w:tcPr>
          <w:p w14:paraId="690F6BCE" w14:textId="77777777" w:rsidR="00235B47" w:rsidRDefault="00235B47" w:rsidP="00235B47">
            <w:pPr>
              <w:spacing w:after="200"/>
              <w:contextualSpacing/>
            </w:pPr>
            <w:r>
              <w:t>Peter Horner</w:t>
            </w:r>
          </w:p>
        </w:tc>
        <w:tc>
          <w:tcPr>
            <w:tcW w:w="3180" w:type="dxa"/>
          </w:tcPr>
          <w:p w14:paraId="0FA7A8D6" w14:textId="77777777" w:rsidR="00235B47" w:rsidRDefault="00235B47" w:rsidP="00235B47">
            <w:pPr>
              <w:spacing w:after="200"/>
              <w:contextualSpacing/>
            </w:pPr>
            <w:r>
              <w:t>Strategy Development Officer</w:t>
            </w:r>
          </w:p>
        </w:tc>
      </w:tr>
      <w:tr w:rsidR="00235B47" w:rsidRPr="005E35AE" w14:paraId="36F645BE" w14:textId="77777777" w:rsidTr="00174C06">
        <w:tc>
          <w:tcPr>
            <w:tcW w:w="3652" w:type="dxa"/>
          </w:tcPr>
          <w:p w14:paraId="0B7515AC" w14:textId="77777777" w:rsidR="00235B47" w:rsidRDefault="00235B47" w:rsidP="00235B47">
            <w:pPr>
              <w:spacing w:after="200"/>
              <w:contextualSpacing/>
            </w:pPr>
            <w:r>
              <w:t>West Yorkshire Police</w:t>
            </w:r>
          </w:p>
        </w:tc>
        <w:tc>
          <w:tcPr>
            <w:tcW w:w="2410" w:type="dxa"/>
          </w:tcPr>
          <w:p w14:paraId="25CD186A" w14:textId="77777777" w:rsidR="00235B47" w:rsidRDefault="00235B47" w:rsidP="00235B47">
            <w:pPr>
              <w:spacing w:after="200"/>
              <w:contextualSpacing/>
            </w:pPr>
            <w:r>
              <w:t>Steve Greenbank</w:t>
            </w:r>
          </w:p>
        </w:tc>
        <w:tc>
          <w:tcPr>
            <w:tcW w:w="3180" w:type="dxa"/>
          </w:tcPr>
          <w:p w14:paraId="482E6570" w14:textId="77777777" w:rsidR="00235B47" w:rsidRDefault="00235B47" w:rsidP="00235B47">
            <w:pPr>
              <w:spacing w:after="200"/>
              <w:contextualSpacing/>
            </w:pPr>
            <w:r>
              <w:t>DCI, Safeguarding</w:t>
            </w:r>
          </w:p>
        </w:tc>
      </w:tr>
    </w:tbl>
    <w:p w14:paraId="450356B6" w14:textId="77777777" w:rsidR="00B46DF8" w:rsidRPr="005E35AE" w:rsidRDefault="00B46DF8" w:rsidP="00350E9C"/>
    <w:p w14:paraId="2C224F59" w14:textId="5442491E" w:rsidR="00B46DF8" w:rsidRPr="005E35AE" w:rsidRDefault="00235B47" w:rsidP="00235B47">
      <w:r>
        <w:t>*Vice Chair</w:t>
      </w:r>
      <w:r w:rsidR="00D23709">
        <w:t>:  Jill Asbury</w:t>
      </w:r>
    </w:p>
    <w:p w14:paraId="3B4ACAE5" w14:textId="77777777" w:rsidR="00B46DF8" w:rsidRPr="005E35AE" w:rsidRDefault="00B46DF8" w:rsidP="00DE5040">
      <w:pPr>
        <w:spacing w:after="0"/>
        <w:rPr>
          <w:rFonts w:eastAsia="Times New Roman" w:cs="Times New Roman"/>
          <w:b/>
          <w:bCs/>
          <w:color w:val="2571B9"/>
          <w:lang w:eastAsia="en-GB"/>
        </w:rPr>
      </w:pPr>
      <w:r w:rsidRPr="005E35AE">
        <w:rPr>
          <w:b/>
        </w:rPr>
        <w:t>Deputies</w:t>
      </w:r>
    </w:p>
    <w:p w14:paraId="3F568A8F" w14:textId="77777777" w:rsidR="00B46DF8" w:rsidRPr="005E35AE" w:rsidRDefault="00B46DF8" w:rsidP="00DE5040">
      <w:r w:rsidRPr="005E35AE">
        <w:t>In exceptional circumstances, where a member is unable to attend, another appropriate person may attend in their stead. The Vice-chair may deputise for the Chair.</w:t>
      </w:r>
    </w:p>
    <w:p w14:paraId="760E61D8" w14:textId="77777777" w:rsidR="00DE5040" w:rsidRPr="008D77CD" w:rsidRDefault="00DE5040" w:rsidP="008D77CD"/>
    <w:sectPr w:rsidR="00DE5040" w:rsidRPr="008D7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70F"/>
    <w:multiLevelType w:val="multilevel"/>
    <w:tmpl w:val="C3F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018E8"/>
    <w:multiLevelType w:val="hybridMultilevel"/>
    <w:tmpl w:val="45E280EC"/>
    <w:lvl w:ilvl="0" w:tplc="7C8C66F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2C63F36"/>
    <w:multiLevelType w:val="hybridMultilevel"/>
    <w:tmpl w:val="0809000F"/>
    <w:lvl w:ilvl="0" w:tplc="8E329E14">
      <w:start w:val="1"/>
      <w:numFmt w:val="decimal"/>
      <w:lvlText w:val="%1."/>
      <w:lvlJc w:val="left"/>
      <w:pPr>
        <w:ind w:left="720" w:hanging="360"/>
      </w:pPr>
      <w:rPr>
        <w:rFonts w:hint="default"/>
        <w:sz w:val="20"/>
      </w:rPr>
    </w:lvl>
    <w:lvl w:ilvl="1" w:tplc="D2B28440">
      <w:start w:val="1"/>
      <w:numFmt w:val="lowerLetter"/>
      <w:lvlText w:val="%2."/>
      <w:lvlJc w:val="left"/>
      <w:pPr>
        <w:ind w:left="1440" w:hanging="360"/>
      </w:pPr>
      <w:rPr>
        <w:rFonts w:hint="default"/>
        <w:sz w:val="20"/>
      </w:rPr>
    </w:lvl>
    <w:lvl w:ilvl="2" w:tplc="0FAEC838" w:tentative="1">
      <w:start w:val="1"/>
      <w:numFmt w:val="lowerRoman"/>
      <w:lvlText w:val="%3."/>
      <w:lvlJc w:val="right"/>
      <w:pPr>
        <w:ind w:left="2160" w:hanging="180"/>
      </w:pPr>
      <w:rPr>
        <w:rFonts w:hint="default"/>
        <w:sz w:val="20"/>
      </w:rPr>
    </w:lvl>
    <w:lvl w:ilvl="3" w:tplc="99F84026" w:tentative="1">
      <w:start w:val="1"/>
      <w:numFmt w:val="decimal"/>
      <w:lvlText w:val="%4."/>
      <w:lvlJc w:val="left"/>
      <w:pPr>
        <w:ind w:left="2880" w:hanging="360"/>
      </w:pPr>
      <w:rPr>
        <w:rFonts w:hint="default"/>
        <w:sz w:val="20"/>
      </w:rPr>
    </w:lvl>
    <w:lvl w:ilvl="4" w:tplc="72CA43C8" w:tentative="1">
      <w:start w:val="1"/>
      <w:numFmt w:val="lowerLetter"/>
      <w:lvlText w:val="%5."/>
      <w:lvlJc w:val="left"/>
      <w:pPr>
        <w:ind w:left="3600" w:hanging="360"/>
      </w:pPr>
      <w:rPr>
        <w:rFonts w:hint="default"/>
        <w:sz w:val="20"/>
      </w:rPr>
    </w:lvl>
    <w:lvl w:ilvl="5" w:tplc="CEBEF4EE" w:tentative="1">
      <w:start w:val="1"/>
      <w:numFmt w:val="lowerRoman"/>
      <w:lvlText w:val="%6."/>
      <w:lvlJc w:val="right"/>
      <w:pPr>
        <w:ind w:left="4320" w:hanging="180"/>
      </w:pPr>
      <w:rPr>
        <w:rFonts w:hint="default"/>
        <w:sz w:val="20"/>
      </w:rPr>
    </w:lvl>
    <w:lvl w:ilvl="6" w:tplc="08DA0FB8" w:tentative="1">
      <w:start w:val="1"/>
      <w:numFmt w:val="decimal"/>
      <w:lvlText w:val="%7."/>
      <w:lvlJc w:val="left"/>
      <w:pPr>
        <w:ind w:left="5040" w:hanging="360"/>
      </w:pPr>
      <w:rPr>
        <w:rFonts w:hint="default"/>
        <w:sz w:val="20"/>
      </w:rPr>
    </w:lvl>
    <w:lvl w:ilvl="7" w:tplc="58C05AE2" w:tentative="1">
      <w:start w:val="1"/>
      <w:numFmt w:val="lowerLetter"/>
      <w:lvlText w:val="%8."/>
      <w:lvlJc w:val="left"/>
      <w:pPr>
        <w:ind w:left="5760" w:hanging="360"/>
      </w:pPr>
      <w:rPr>
        <w:rFonts w:hint="default"/>
        <w:sz w:val="20"/>
      </w:rPr>
    </w:lvl>
    <w:lvl w:ilvl="8" w:tplc="FA02B658" w:tentative="1">
      <w:start w:val="1"/>
      <w:numFmt w:val="lowerRoman"/>
      <w:lvlText w:val="%9."/>
      <w:lvlJc w:val="right"/>
      <w:pPr>
        <w:ind w:left="6480" w:hanging="180"/>
      </w:pPr>
      <w:rPr>
        <w:rFonts w:hint="default"/>
        <w:sz w:val="20"/>
      </w:rPr>
    </w:lvl>
  </w:abstractNum>
  <w:abstractNum w:abstractNumId="3">
    <w:nsid w:val="28EC1563"/>
    <w:multiLevelType w:val="hybridMultilevel"/>
    <w:tmpl w:val="022A66BC"/>
    <w:lvl w:ilvl="0" w:tplc="08090001">
      <w:start w:val="1"/>
      <w:numFmt w:val="bullet"/>
      <w:lvlText w:val=""/>
      <w:lvlJc w:val="left"/>
      <w:pPr>
        <w:ind w:left="720" w:hanging="360"/>
      </w:pPr>
      <w:rPr>
        <w:rFonts w:ascii="Symbol" w:hAnsi="Symbol" w:hint="default"/>
        <w:sz w:val="20"/>
      </w:rPr>
    </w:lvl>
    <w:lvl w:ilvl="1" w:tplc="CC62708A">
      <w:start w:val="1"/>
      <w:numFmt w:val="lowerLetter"/>
      <w:lvlText w:val="%2."/>
      <w:lvlJc w:val="left"/>
      <w:pPr>
        <w:ind w:left="1440" w:hanging="360"/>
      </w:pPr>
      <w:rPr>
        <w:rFonts w:hint="default"/>
        <w:sz w:val="20"/>
      </w:rPr>
    </w:lvl>
    <w:lvl w:ilvl="2" w:tplc="DEDC4636" w:tentative="1">
      <w:start w:val="1"/>
      <w:numFmt w:val="lowerRoman"/>
      <w:lvlText w:val="%3."/>
      <w:lvlJc w:val="right"/>
      <w:pPr>
        <w:ind w:left="2160" w:hanging="180"/>
      </w:pPr>
      <w:rPr>
        <w:rFonts w:hint="default"/>
        <w:sz w:val="20"/>
      </w:rPr>
    </w:lvl>
    <w:lvl w:ilvl="3" w:tplc="18B06ABE" w:tentative="1">
      <w:start w:val="1"/>
      <w:numFmt w:val="decimal"/>
      <w:lvlText w:val="%4."/>
      <w:lvlJc w:val="left"/>
      <w:pPr>
        <w:ind w:left="2880" w:hanging="360"/>
      </w:pPr>
      <w:rPr>
        <w:rFonts w:hint="default"/>
        <w:sz w:val="20"/>
      </w:rPr>
    </w:lvl>
    <w:lvl w:ilvl="4" w:tplc="874297A4" w:tentative="1">
      <w:start w:val="1"/>
      <w:numFmt w:val="lowerLetter"/>
      <w:lvlText w:val="%5."/>
      <w:lvlJc w:val="left"/>
      <w:pPr>
        <w:ind w:left="3600" w:hanging="360"/>
      </w:pPr>
      <w:rPr>
        <w:rFonts w:hint="default"/>
        <w:sz w:val="20"/>
      </w:rPr>
    </w:lvl>
    <w:lvl w:ilvl="5" w:tplc="FFC25A54" w:tentative="1">
      <w:start w:val="1"/>
      <w:numFmt w:val="lowerRoman"/>
      <w:lvlText w:val="%6."/>
      <w:lvlJc w:val="right"/>
      <w:pPr>
        <w:ind w:left="4320" w:hanging="180"/>
      </w:pPr>
      <w:rPr>
        <w:rFonts w:hint="default"/>
        <w:sz w:val="20"/>
      </w:rPr>
    </w:lvl>
    <w:lvl w:ilvl="6" w:tplc="A2865C0E" w:tentative="1">
      <w:start w:val="1"/>
      <w:numFmt w:val="decimal"/>
      <w:lvlText w:val="%7."/>
      <w:lvlJc w:val="left"/>
      <w:pPr>
        <w:ind w:left="5040" w:hanging="360"/>
      </w:pPr>
      <w:rPr>
        <w:rFonts w:hint="default"/>
        <w:sz w:val="20"/>
      </w:rPr>
    </w:lvl>
    <w:lvl w:ilvl="7" w:tplc="DD500680" w:tentative="1">
      <w:start w:val="1"/>
      <w:numFmt w:val="lowerLetter"/>
      <w:lvlText w:val="%8."/>
      <w:lvlJc w:val="left"/>
      <w:pPr>
        <w:ind w:left="5760" w:hanging="360"/>
      </w:pPr>
      <w:rPr>
        <w:rFonts w:hint="default"/>
        <w:sz w:val="20"/>
      </w:rPr>
    </w:lvl>
    <w:lvl w:ilvl="8" w:tplc="D410F1B2" w:tentative="1">
      <w:start w:val="1"/>
      <w:numFmt w:val="lowerRoman"/>
      <w:lvlText w:val="%9."/>
      <w:lvlJc w:val="right"/>
      <w:pPr>
        <w:ind w:left="6480" w:hanging="180"/>
      </w:pPr>
      <w:rPr>
        <w:rFonts w:hint="default"/>
        <w:sz w:val="20"/>
      </w:rPr>
    </w:lvl>
  </w:abstractNum>
  <w:abstractNum w:abstractNumId="4">
    <w:nsid w:val="2AEC5C10"/>
    <w:multiLevelType w:val="hybridMultilevel"/>
    <w:tmpl w:val="12D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C512AA"/>
    <w:multiLevelType w:val="hybridMultilevel"/>
    <w:tmpl w:val="376ED7DA"/>
    <w:lvl w:ilvl="0" w:tplc="08090001">
      <w:start w:val="1"/>
      <w:numFmt w:val="bullet"/>
      <w:lvlText w:val=""/>
      <w:lvlJc w:val="left"/>
      <w:pPr>
        <w:ind w:left="720" w:hanging="360"/>
      </w:pPr>
      <w:rPr>
        <w:rFonts w:ascii="Symbol" w:hAnsi="Symbol" w:hint="default"/>
        <w:sz w:val="20"/>
      </w:rPr>
    </w:lvl>
    <w:lvl w:ilvl="1" w:tplc="C9345634">
      <w:start w:val="1"/>
      <w:numFmt w:val="lowerLetter"/>
      <w:lvlText w:val="%2."/>
      <w:lvlJc w:val="left"/>
      <w:pPr>
        <w:ind w:left="1440" w:hanging="360"/>
      </w:pPr>
      <w:rPr>
        <w:rFonts w:hint="default"/>
        <w:sz w:val="20"/>
      </w:rPr>
    </w:lvl>
    <w:lvl w:ilvl="2" w:tplc="95822874" w:tentative="1">
      <w:start w:val="1"/>
      <w:numFmt w:val="lowerRoman"/>
      <w:lvlText w:val="%3."/>
      <w:lvlJc w:val="right"/>
      <w:pPr>
        <w:ind w:left="2160" w:hanging="180"/>
      </w:pPr>
      <w:rPr>
        <w:rFonts w:hint="default"/>
        <w:sz w:val="20"/>
      </w:rPr>
    </w:lvl>
    <w:lvl w:ilvl="3" w:tplc="639E121A" w:tentative="1">
      <w:start w:val="1"/>
      <w:numFmt w:val="decimal"/>
      <w:lvlText w:val="%4."/>
      <w:lvlJc w:val="left"/>
      <w:pPr>
        <w:ind w:left="2880" w:hanging="360"/>
      </w:pPr>
      <w:rPr>
        <w:rFonts w:hint="default"/>
        <w:sz w:val="20"/>
      </w:rPr>
    </w:lvl>
    <w:lvl w:ilvl="4" w:tplc="F2846C36" w:tentative="1">
      <w:start w:val="1"/>
      <w:numFmt w:val="lowerLetter"/>
      <w:lvlText w:val="%5."/>
      <w:lvlJc w:val="left"/>
      <w:pPr>
        <w:ind w:left="3600" w:hanging="360"/>
      </w:pPr>
      <w:rPr>
        <w:rFonts w:hint="default"/>
        <w:sz w:val="20"/>
      </w:rPr>
    </w:lvl>
    <w:lvl w:ilvl="5" w:tplc="B0C4E8DE" w:tentative="1">
      <w:start w:val="1"/>
      <w:numFmt w:val="lowerRoman"/>
      <w:lvlText w:val="%6."/>
      <w:lvlJc w:val="right"/>
      <w:pPr>
        <w:ind w:left="4320" w:hanging="180"/>
      </w:pPr>
      <w:rPr>
        <w:rFonts w:hint="default"/>
        <w:sz w:val="20"/>
      </w:rPr>
    </w:lvl>
    <w:lvl w:ilvl="6" w:tplc="508ED79A" w:tentative="1">
      <w:start w:val="1"/>
      <w:numFmt w:val="decimal"/>
      <w:lvlText w:val="%7."/>
      <w:lvlJc w:val="left"/>
      <w:pPr>
        <w:ind w:left="5040" w:hanging="360"/>
      </w:pPr>
      <w:rPr>
        <w:rFonts w:hint="default"/>
        <w:sz w:val="20"/>
      </w:rPr>
    </w:lvl>
    <w:lvl w:ilvl="7" w:tplc="BDFC0046" w:tentative="1">
      <w:start w:val="1"/>
      <w:numFmt w:val="lowerLetter"/>
      <w:lvlText w:val="%8."/>
      <w:lvlJc w:val="left"/>
      <w:pPr>
        <w:ind w:left="5760" w:hanging="360"/>
      </w:pPr>
      <w:rPr>
        <w:rFonts w:hint="default"/>
        <w:sz w:val="20"/>
      </w:rPr>
    </w:lvl>
    <w:lvl w:ilvl="8" w:tplc="E578BBCC" w:tentative="1">
      <w:start w:val="1"/>
      <w:numFmt w:val="lowerRoman"/>
      <w:lvlText w:val="%9."/>
      <w:lvlJc w:val="right"/>
      <w:pPr>
        <w:ind w:left="6480" w:hanging="180"/>
      </w:pPr>
      <w:rPr>
        <w:rFonts w:hint="default"/>
        <w:sz w:val="20"/>
      </w:rPr>
    </w:lvl>
  </w:abstractNum>
  <w:abstractNum w:abstractNumId="6">
    <w:nsid w:val="45A46325"/>
    <w:multiLevelType w:val="hybridMultilevel"/>
    <w:tmpl w:val="950EE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84224D8"/>
    <w:multiLevelType w:val="hybridMultilevel"/>
    <w:tmpl w:val="9ADC5896"/>
    <w:lvl w:ilvl="0" w:tplc="08090001">
      <w:start w:val="1"/>
      <w:numFmt w:val="bullet"/>
      <w:lvlText w:val=""/>
      <w:lvlJc w:val="left"/>
      <w:pPr>
        <w:ind w:left="720" w:hanging="360"/>
      </w:pPr>
      <w:rPr>
        <w:rFonts w:ascii="Symbol" w:hAnsi="Symbol" w:hint="default"/>
        <w:sz w:val="20"/>
      </w:rPr>
    </w:lvl>
    <w:lvl w:ilvl="1" w:tplc="1938DB26">
      <w:start w:val="1"/>
      <w:numFmt w:val="lowerLetter"/>
      <w:lvlText w:val="%2."/>
      <w:lvlJc w:val="left"/>
      <w:pPr>
        <w:ind w:left="1440" w:hanging="360"/>
      </w:pPr>
      <w:rPr>
        <w:rFonts w:hint="default"/>
        <w:sz w:val="20"/>
      </w:rPr>
    </w:lvl>
    <w:lvl w:ilvl="2" w:tplc="F9B0A0DC" w:tentative="1">
      <w:start w:val="1"/>
      <w:numFmt w:val="lowerRoman"/>
      <w:lvlText w:val="%3."/>
      <w:lvlJc w:val="right"/>
      <w:pPr>
        <w:ind w:left="2160" w:hanging="180"/>
      </w:pPr>
      <w:rPr>
        <w:rFonts w:hint="default"/>
        <w:sz w:val="20"/>
      </w:rPr>
    </w:lvl>
    <w:lvl w:ilvl="3" w:tplc="AA88C298" w:tentative="1">
      <w:start w:val="1"/>
      <w:numFmt w:val="decimal"/>
      <w:lvlText w:val="%4."/>
      <w:lvlJc w:val="left"/>
      <w:pPr>
        <w:ind w:left="2880" w:hanging="360"/>
      </w:pPr>
      <w:rPr>
        <w:rFonts w:hint="default"/>
        <w:sz w:val="20"/>
      </w:rPr>
    </w:lvl>
    <w:lvl w:ilvl="4" w:tplc="E97E0DEC" w:tentative="1">
      <w:start w:val="1"/>
      <w:numFmt w:val="lowerLetter"/>
      <w:lvlText w:val="%5."/>
      <w:lvlJc w:val="left"/>
      <w:pPr>
        <w:ind w:left="3600" w:hanging="360"/>
      </w:pPr>
      <w:rPr>
        <w:rFonts w:hint="default"/>
        <w:sz w:val="20"/>
      </w:rPr>
    </w:lvl>
    <w:lvl w:ilvl="5" w:tplc="7A687CCC" w:tentative="1">
      <w:start w:val="1"/>
      <w:numFmt w:val="lowerRoman"/>
      <w:lvlText w:val="%6."/>
      <w:lvlJc w:val="right"/>
      <w:pPr>
        <w:ind w:left="4320" w:hanging="180"/>
      </w:pPr>
      <w:rPr>
        <w:rFonts w:hint="default"/>
        <w:sz w:val="20"/>
      </w:rPr>
    </w:lvl>
    <w:lvl w:ilvl="6" w:tplc="20B2B4A4" w:tentative="1">
      <w:start w:val="1"/>
      <w:numFmt w:val="decimal"/>
      <w:lvlText w:val="%7."/>
      <w:lvlJc w:val="left"/>
      <w:pPr>
        <w:ind w:left="5040" w:hanging="360"/>
      </w:pPr>
      <w:rPr>
        <w:rFonts w:hint="default"/>
        <w:sz w:val="20"/>
      </w:rPr>
    </w:lvl>
    <w:lvl w:ilvl="7" w:tplc="7A2427C4" w:tentative="1">
      <w:start w:val="1"/>
      <w:numFmt w:val="lowerLetter"/>
      <w:lvlText w:val="%8."/>
      <w:lvlJc w:val="left"/>
      <w:pPr>
        <w:ind w:left="5760" w:hanging="360"/>
      </w:pPr>
      <w:rPr>
        <w:rFonts w:hint="default"/>
        <w:sz w:val="20"/>
      </w:rPr>
    </w:lvl>
    <w:lvl w:ilvl="8" w:tplc="F8348B68" w:tentative="1">
      <w:start w:val="1"/>
      <w:numFmt w:val="lowerRoman"/>
      <w:lvlText w:val="%9."/>
      <w:lvlJc w:val="right"/>
      <w:pPr>
        <w:ind w:left="6480" w:hanging="180"/>
      </w:pPr>
      <w:rPr>
        <w:rFonts w:hint="default"/>
        <w:sz w:val="20"/>
      </w:rPr>
    </w:lvl>
  </w:abstractNum>
  <w:abstractNum w:abstractNumId="8">
    <w:nsid w:val="6679716B"/>
    <w:multiLevelType w:val="multilevel"/>
    <w:tmpl w:val="AA6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17A33"/>
    <w:multiLevelType w:val="multilevel"/>
    <w:tmpl w:val="771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0"/>
  </w:num>
  <w:num w:numId="6">
    <w:abstractNumId w:val="8"/>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BB"/>
    <w:rsid w:val="00000D51"/>
    <w:rsid w:val="000024B4"/>
    <w:rsid w:val="000126BB"/>
    <w:rsid w:val="0001291D"/>
    <w:rsid w:val="000169A4"/>
    <w:rsid w:val="00021DF2"/>
    <w:rsid w:val="00024E67"/>
    <w:rsid w:val="00041D07"/>
    <w:rsid w:val="00050DB1"/>
    <w:rsid w:val="000518FF"/>
    <w:rsid w:val="0009224E"/>
    <w:rsid w:val="000942EC"/>
    <w:rsid w:val="000A5CB3"/>
    <w:rsid w:val="000C389A"/>
    <w:rsid w:val="000C756F"/>
    <w:rsid w:val="000D7120"/>
    <w:rsid w:val="000D75F1"/>
    <w:rsid w:val="000E4930"/>
    <w:rsid w:val="000E71FF"/>
    <w:rsid w:val="000F4CCB"/>
    <w:rsid w:val="0010171C"/>
    <w:rsid w:val="00102F8C"/>
    <w:rsid w:val="00114867"/>
    <w:rsid w:val="00121932"/>
    <w:rsid w:val="00132025"/>
    <w:rsid w:val="001507A1"/>
    <w:rsid w:val="001569F4"/>
    <w:rsid w:val="00167841"/>
    <w:rsid w:val="001679CE"/>
    <w:rsid w:val="00174C06"/>
    <w:rsid w:val="00181E37"/>
    <w:rsid w:val="001821D7"/>
    <w:rsid w:val="00184D2C"/>
    <w:rsid w:val="00194CBF"/>
    <w:rsid w:val="001B0B6F"/>
    <w:rsid w:val="001C086E"/>
    <w:rsid w:val="001D07EB"/>
    <w:rsid w:val="001F0F5E"/>
    <w:rsid w:val="001F39CE"/>
    <w:rsid w:val="001F7813"/>
    <w:rsid w:val="00216AE4"/>
    <w:rsid w:val="00224767"/>
    <w:rsid w:val="002263B5"/>
    <w:rsid w:val="002317D6"/>
    <w:rsid w:val="00234F94"/>
    <w:rsid w:val="00235B47"/>
    <w:rsid w:val="00236BEC"/>
    <w:rsid w:val="00250FAC"/>
    <w:rsid w:val="00253F06"/>
    <w:rsid w:val="002561B6"/>
    <w:rsid w:val="002569D2"/>
    <w:rsid w:val="00264F85"/>
    <w:rsid w:val="00273D1D"/>
    <w:rsid w:val="002765B4"/>
    <w:rsid w:val="0028550D"/>
    <w:rsid w:val="002A5732"/>
    <w:rsid w:val="002A665A"/>
    <w:rsid w:val="002C30C9"/>
    <w:rsid w:val="002D7812"/>
    <w:rsid w:val="002E12C5"/>
    <w:rsid w:val="003021A0"/>
    <w:rsid w:val="003026F2"/>
    <w:rsid w:val="00302850"/>
    <w:rsid w:val="003050A0"/>
    <w:rsid w:val="00305E77"/>
    <w:rsid w:val="003155D8"/>
    <w:rsid w:val="0032677A"/>
    <w:rsid w:val="00332CFA"/>
    <w:rsid w:val="0034232B"/>
    <w:rsid w:val="00346112"/>
    <w:rsid w:val="00346A21"/>
    <w:rsid w:val="00350E9C"/>
    <w:rsid w:val="00374232"/>
    <w:rsid w:val="00381504"/>
    <w:rsid w:val="00384FC5"/>
    <w:rsid w:val="003A296F"/>
    <w:rsid w:val="003C08A2"/>
    <w:rsid w:val="003C7B35"/>
    <w:rsid w:val="003D67A7"/>
    <w:rsid w:val="003E3FB9"/>
    <w:rsid w:val="003E67F9"/>
    <w:rsid w:val="003F67D3"/>
    <w:rsid w:val="0041549F"/>
    <w:rsid w:val="004214A3"/>
    <w:rsid w:val="004269F5"/>
    <w:rsid w:val="0043076C"/>
    <w:rsid w:val="0043124B"/>
    <w:rsid w:val="00432D3D"/>
    <w:rsid w:val="00433CDD"/>
    <w:rsid w:val="004410C1"/>
    <w:rsid w:val="00441E23"/>
    <w:rsid w:val="00464760"/>
    <w:rsid w:val="00467D22"/>
    <w:rsid w:val="00470A36"/>
    <w:rsid w:val="00474021"/>
    <w:rsid w:val="00475AE6"/>
    <w:rsid w:val="00484D36"/>
    <w:rsid w:val="00486577"/>
    <w:rsid w:val="004877FB"/>
    <w:rsid w:val="004920BD"/>
    <w:rsid w:val="00497CD1"/>
    <w:rsid w:val="00497EBD"/>
    <w:rsid w:val="004A31C3"/>
    <w:rsid w:val="004C0D7D"/>
    <w:rsid w:val="004C5FA7"/>
    <w:rsid w:val="004D0168"/>
    <w:rsid w:val="004D441D"/>
    <w:rsid w:val="004F451A"/>
    <w:rsid w:val="004F5CB2"/>
    <w:rsid w:val="004F7BA3"/>
    <w:rsid w:val="0050348E"/>
    <w:rsid w:val="00517881"/>
    <w:rsid w:val="005207AC"/>
    <w:rsid w:val="005212BE"/>
    <w:rsid w:val="005376F1"/>
    <w:rsid w:val="0054383F"/>
    <w:rsid w:val="0055011B"/>
    <w:rsid w:val="005658BD"/>
    <w:rsid w:val="00572BFC"/>
    <w:rsid w:val="00573DFC"/>
    <w:rsid w:val="00586498"/>
    <w:rsid w:val="0059023D"/>
    <w:rsid w:val="00592DCD"/>
    <w:rsid w:val="00592DDA"/>
    <w:rsid w:val="005A0B56"/>
    <w:rsid w:val="005A5FAB"/>
    <w:rsid w:val="005A7649"/>
    <w:rsid w:val="005A7D3F"/>
    <w:rsid w:val="005C2163"/>
    <w:rsid w:val="005D279A"/>
    <w:rsid w:val="005D6983"/>
    <w:rsid w:val="005E35AE"/>
    <w:rsid w:val="005E3E27"/>
    <w:rsid w:val="005E572F"/>
    <w:rsid w:val="005F0C9B"/>
    <w:rsid w:val="005F2163"/>
    <w:rsid w:val="005F3634"/>
    <w:rsid w:val="005F491D"/>
    <w:rsid w:val="005F7202"/>
    <w:rsid w:val="00625954"/>
    <w:rsid w:val="00630311"/>
    <w:rsid w:val="00631278"/>
    <w:rsid w:val="006365BA"/>
    <w:rsid w:val="006427E2"/>
    <w:rsid w:val="006476A4"/>
    <w:rsid w:val="00651379"/>
    <w:rsid w:val="00664267"/>
    <w:rsid w:val="006651EA"/>
    <w:rsid w:val="00667355"/>
    <w:rsid w:val="0067071F"/>
    <w:rsid w:val="00683B79"/>
    <w:rsid w:val="00691C87"/>
    <w:rsid w:val="006A189D"/>
    <w:rsid w:val="006A2DBD"/>
    <w:rsid w:val="006A497C"/>
    <w:rsid w:val="006C227D"/>
    <w:rsid w:val="006C77E8"/>
    <w:rsid w:val="006D1AB4"/>
    <w:rsid w:val="006D5C73"/>
    <w:rsid w:val="006F5023"/>
    <w:rsid w:val="006F58FC"/>
    <w:rsid w:val="006F5EA6"/>
    <w:rsid w:val="006F7ABC"/>
    <w:rsid w:val="00712557"/>
    <w:rsid w:val="007322AC"/>
    <w:rsid w:val="0074256F"/>
    <w:rsid w:val="00742A7A"/>
    <w:rsid w:val="0075736B"/>
    <w:rsid w:val="00770E9E"/>
    <w:rsid w:val="00775C20"/>
    <w:rsid w:val="00783963"/>
    <w:rsid w:val="007911B6"/>
    <w:rsid w:val="00791581"/>
    <w:rsid w:val="007942AD"/>
    <w:rsid w:val="007B7EA1"/>
    <w:rsid w:val="007C6610"/>
    <w:rsid w:val="007C6C35"/>
    <w:rsid w:val="007D536D"/>
    <w:rsid w:val="00806F21"/>
    <w:rsid w:val="0081155C"/>
    <w:rsid w:val="00815DE5"/>
    <w:rsid w:val="00816EB1"/>
    <w:rsid w:val="00817F01"/>
    <w:rsid w:val="00822523"/>
    <w:rsid w:val="00826D01"/>
    <w:rsid w:val="00827B3D"/>
    <w:rsid w:val="00830C5B"/>
    <w:rsid w:val="00844892"/>
    <w:rsid w:val="00853930"/>
    <w:rsid w:val="008638CE"/>
    <w:rsid w:val="008666FB"/>
    <w:rsid w:val="008912BC"/>
    <w:rsid w:val="00891578"/>
    <w:rsid w:val="0089434B"/>
    <w:rsid w:val="0089583F"/>
    <w:rsid w:val="008A7E2C"/>
    <w:rsid w:val="008B2147"/>
    <w:rsid w:val="008C1B90"/>
    <w:rsid w:val="008C1E78"/>
    <w:rsid w:val="008D4C81"/>
    <w:rsid w:val="008D77CD"/>
    <w:rsid w:val="008E152E"/>
    <w:rsid w:val="008E1B92"/>
    <w:rsid w:val="008E7D01"/>
    <w:rsid w:val="008F3A73"/>
    <w:rsid w:val="00925EA6"/>
    <w:rsid w:val="00952A13"/>
    <w:rsid w:val="0095396B"/>
    <w:rsid w:val="0095613A"/>
    <w:rsid w:val="00977D41"/>
    <w:rsid w:val="009823B3"/>
    <w:rsid w:val="00993C80"/>
    <w:rsid w:val="00996A9D"/>
    <w:rsid w:val="00996CF3"/>
    <w:rsid w:val="00997400"/>
    <w:rsid w:val="009974C6"/>
    <w:rsid w:val="009A31B6"/>
    <w:rsid w:val="009A3F42"/>
    <w:rsid w:val="009B7A03"/>
    <w:rsid w:val="009D12BF"/>
    <w:rsid w:val="009D3CDA"/>
    <w:rsid w:val="009E5C3D"/>
    <w:rsid w:val="009F37CE"/>
    <w:rsid w:val="009F49F8"/>
    <w:rsid w:val="00A02463"/>
    <w:rsid w:val="00A102F5"/>
    <w:rsid w:val="00A10870"/>
    <w:rsid w:val="00A13441"/>
    <w:rsid w:val="00A14BE0"/>
    <w:rsid w:val="00A23F58"/>
    <w:rsid w:val="00A27363"/>
    <w:rsid w:val="00A35316"/>
    <w:rsid w:val="00A36C0A"/>
    <w:rsid w:val="00A3728F"/>
    <w:rsid w:val="00A51E3B"/>
    <w:rsid w:val="00A6605C"/>
    <w:rsid w:val="00A75D8D"/>
    <w:rsid w:val="00A7732B"/>
    <w:rsid w:val="00A932AA"/>
    <w:rsid w:val="00A97911"/>
    <w:rsid w:val="00AA419F"/>
    <w:rsid w:val="00AB0F56"/>
    <w:rsid w:val="00AB6A7C"/>
    <w:rsid w:val="00AC099B"/>
    <w:rsid w:val="00AC54CC"/>
    <w:rsid w:val="00AD7725"/>
    <w:rsid w:val="00AD788A"/>
    <w:rsid w:val="00AE3619"/>
    <w:rsid w:val="00AF5140"/>
    <w:rsid w:val="00AF6FD1"/>
    <w:rsid w:val="00B01FDC"/>
    <w:rsid w:val="00B253C0"/>
    <w:rsid w:val="00B45BF4"/>
    <w:rsid w:val="00B46DF8"/>
    <w:rsid w:val="00B53421"/>
    <w:rsid w:val="00B53DF3"/>
    <w:rsid w:val="00B57476"/>
    <w:rsid w:val="00B644A0"/>
    <w:rsid w:val="00B650CB"/>
    <w:rsid w:val="00B70E03"/>
    <w:rsid w:val="00B7233B"/>
    <w:rsid w:val="00B80438"/>
    <w:rsid w:val="00BA4068"/>
    <w:rsid w:val="00BA60B3"/>
    <w:rsid w:val="00BB5BD6"/>
    <w:rsid w:val="00BC1817"/>
    <w:rsid w:val="00BC32A0"/>
    <w:rsid w:val="00BC3E76"/>
    <w:rsid w:val="00BD68CE"/>
    <w:rsid w:val="00C00477"/>
    <w:rsid w:val="00C02DBF"/>
    <w:rsid w:val="00C12571"/>
    <w:rsid w:val="00C134C3"/>
    <w:rsid w:val="00C20758"/>
    <w:rsid w:val="00C2208B"/>
    <w:rsid w:val="00C236ED"/>
    <w:rsid w:val="00C31B88"/>
    <w:rsid w:val="00C344AB"/>
    <w:rsid w:val="00C3468C"/>
    <w:rsid w:val="00C433DB"/>
    <w:rsid w:val="00C53787"/>
    <w:rsid w:val="00C53D34"/>
    <w:rsid w:val="00C55AF6"/>
    <w:rsid w:val="00C77C6E"/>
    <w:rsid w:val="00C87D6A"/>
    <w:rsid w:val="00C908AE"/>
    <w:rsid w:val="00CA1FB6"/>
    <w:rsid w:val="00CA49D5"/>
    <w:rsid w:val="00CA6B63"/>
    <w:rsid w:val="00CB12EE"/>
    <w:rsid w:val="00CB3C6F"/>
    <w:rsid w:val="00CC16A1"/>
    <w:rsid w:val="00CE0C99"/>
    <w:rsid w:val="00D0123E"/>
    <w:rsid w:val="00D02BCD"/>
    <w:rsid w:val="00D1105D"/>
    <w:rsid w:val="00D17D2A"/>
    <w:rsid w:val="00D23709"/>
    <w:rsid w:val="00D563CF"/>
    <w:rsid w:val="00D77BC2"/>
    <w:rsid w:val="00D82B22"/>
    <w:rsid w:val="00D90CF9"/>
    <w:rsid w:val="00D95A0C"/>
    <w:rsid w:val="00D979DA"/>
    <w:rsid w:val="00DB1F76"/>
    <w:rsid w:val="00DC7EDD"/>
    <w:rsid w:val="00DD64FD"/>
    <w:rsid w:val="00DE5040"/>
    <w:rsid w:val="00DE706D"/>
    <w:rsid w:val="00DF7E20"/>
    <w:rsid w:val="00E012B1"/>
    <w:rsid w:val="00E113B6"/>
    <w:rsid w:val="00E22084"/>
    <w:rsid w:val="00E22AE4"/>
    <w:rsid w:val="00E27622"/>
    <w:rsid w:val="00E43693"/>
    <w:rsid w:val="00E46715"/>
    <w:rsid w:val="00E820D2"/>
    <w:rsid w:val="00E82B22"/>
    <w:rsid w:val="00E82E39"/>
    <w:rsid w:val="00E82FF0"/>
    <w:rsid w:val="00E91A2B"/>
    <w:rsid w:val="00EB17BA"/>
    <w:rsid w:val="00ED366C"/>
    <w:rsid w:val="00ED41E7"/>
    <w:rsid w:val="00ED5F02"/>
    <w:rsid w:val="00ED7DC3"/>
    <w:rsid w:val="00EE125C"/>
    <w:rsid w:val="00EE38D5"/>
    <w:rsid w:val="00EE3E42"/>
    <w:rsid w:val="00EF21EE"/>
    <w:rsid w:val="00EF5ACE"/>
    <w:rsid w:val="00F123F6"/>
    <w:rsid w:val="00F30E58"/>
    <w:rsid w:val="00F34ABE"/>
    <w:rsid w:val="00F34FAA"/>
    <w:rsid w:val="00F36563"/>
    <w:rsid w:val="00F43D30"/>
    <w:rsid w:val="00F44A61"/>
    <w:rsid w:val="00F46872"/>
    <w:rsid w:val="00F55CF9"/>
    <w:rsid w:val="00F60882"/>
    <w:rsid w:val="00F6692F"/>
    <w:rsid w:val="00F828CA"/>
    <w:rsid w:val="00F9137C"/>
    <w:rsid w:val="00F9440B"/>
    <w:rsid w:val="00F96FC5"/>
    <w:rsid w:val="00F979CD"/>
    <w:rsid w:val="00FA016B"/>
    <w:rsid w:val="00FA3574"/>
    <w:rsid w:val="00FA72DB"/>
    <w:rsid w:val="00FC2A8B"/>
    <w:rsid w:val="00FC2CAD"/>
    <w:rsid w:val="00FC3210"/>
    <w:rsid w:val="00FD237D"/>
    <w:rsid w:val="00FD5AED"/>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6DF8"/>
    <w:pPr>
      <w:spacing w:before="120" w:after="0" w:line="336" w:lineRule="auto"/>
      <w:outlineLvl w:val="3"/>
    </w:pPr>
    <w:rPr>
      <w:rFonts w:ascii="Times New Roman" w:eastAsia="Times New Roman" w:hAnsi="Times New Roman" w:cs="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B"/>
    <w:rPr>
      <w:rFonts w:ascii="Tahoma" w:hAnsi="Tahoma" w:cs="Tahoma"/>
      <w:sz w:val="16"/>
      <w:szCs w:val="16"/>
    </w:rPr>
  </w:style>
  <w:style w:type="paragraph" w:customStyle="1" w:styleId="Default">
    <w:name w:val="Default"/>
    <w:rsid w:val="000126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6BB"/>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6BB"/>
    <w:pPr>
      <w:ind w:left="720"/>
      <w:contextualSpacing/>
    </w:pPr>
  </w:style>
  <w:style w:type="table" w:styleId="TableGrid">
    <w:name w:val="Table Grid"/>
    <w:basedOn w:val="TableNormal"/>
    <w:uiPriority w:val="59"/>
    <w:rsid w:val="00B4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46DF8"/>
    <w:rPr>
      <w:rFonts w:ascii="Times New Roman" w:eastAsia="Times New Roman" w:hAnsi="Times New Roman" w:cs="Times New Roman"/>
      <w:b/>
      <w:bCs/>
      <w:color w:val="2571B9"/>
      <w:sz w:val="29"/>
      <w:szCs w:val="29"/>
      <w:lang w:eastAsia="en-GB"/>
    </w:rPr>
  </w:style>
  <w:style w:type="paragraph" w:styleId="Footer">
    <w:name w:val="footer"/>
    <w:basedOn w:val="Normal"/>
    <w:link w:val="FooterChar"/>
    <w:uiPriority w:val="99"/>
    <w:unhideWhenUsed/>
    <w:rsid w:val="0099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9D"/>
  </w:style>
  <w:style w:type="character" w:styleId="Strong">
    <w:name w:val="Strong"/>
    <w:basedOn w:val="DefaultParagraphFont"/>
    <w:uiPriority w:val="22"/>
    <w:qFormat/>
    <w:rsid w:val="003A29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6DF8"/>
    <w:pPr>
      <w:spacing w:before="120" w:after="0" w:line="336" w:lineRule="auto"/>
      <w:outlineLvl w:val="3"/>
    </w:pPr>
    <w:rPr>
      <w:rFonts w:ascii="Times New Roman" w:eastAsia="Times New Roman" w:hAnsi="Times New Roman" w:cs="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B"/>
    <w:rPr>
      <w:rFonts w:ascii="Tahoma" w:hAnsi="Tahoma" w:cs="Tahoma"/>
      <w:sz w:val="16"/>
      <w:szCs w:val="16"/>
    </w:rPr>
  </w:style>
  <w:style w:type="paragraph" w:customStyle="1" w:styleId="Default">
    <w:name w:val="Default"/>
    <w:rsid w:val="000126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6BB"/>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6BB"/>
    <w:pPr>
      <w:ind w:left="720"/>
      <w:contextualSpacing/>
    </w:pPr>
  </w:style>
  <w:style w:type="table" w:styleId="TableGrid">
    <w:name w:val="Table Grid"/>
    <w:basedOn w:val="TableNormal"/>
    <w:uiPriority w:val="59"/>
    <w:rsid w:val="00B4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46DF8"/>
    <w:rPr>
      <w:rFonts w:ascii="Times New Roman" w:eastAsia="Times New Roman" w:hAnsi="Times New Roman" w:cs="Times New Roman"/>
      <w:b/>
      <w:bCs/>
      <w:color w:val="2571B9"/>
      <w:sz w:val="29"/>
      <w:szCs w:val="29"/>
      <w:lang w:eastAsia="en-GB"/>
    </w:rPr>
  </w:style>
  <w:style w:type="paragraph" w:styleId="Footer">
    <w:name w:val="footer"/>
    <w:basedOn w:val="Normal"/>
    <w:link w:val="FooterChar"/>
    <w:uiPriority w:val="99"/>
    <w:unhideWhenUsed/>
    <w:rsid w:val="0099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9D"/>
  </w:style>
  <w:style w:type="character" w:styleId="Strong">
    <w:name w:val="Strong"/>
    <w:basedOn w:val="DefaultParagraphFont"/>
    <w:uiPriority w:val="22"/>
    <w:qFormat/>
    <w:rsid w:val="003A2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1898">
      <w:bodyDiv w:val="1"/>
      <w:marLeft w:val="0"/>
      <w:marRight w:val="0"/>
      <w:marTop w:val="0"/>
      <w:marBottom w:val="0"/>
      <w:divBdr>
        <w:top w:val="none" w:sz="0" w:space="0" w:color="auto"/>
        <w:left w:val="none" w:sz="0" w:space="0" w:color="auto"/>
        <w:bottom w:val="none" w:sz="0" w:space="0" w:color="auto"/>
        <w:right w:val="none" w:sz="0" w:space="0" w:color="auto"/>
      </w:divBdr>
      <w:divsChild>
        <w:div w:id="1421638111">
          <w:marLeft w:val="300"/>
          <w:marRight w:val="300"/>
          <w:marTop w:val="0"/>
          <w:marBottom w:val="0"/>
          <w:divBdr>
            <w:top w:val="none" w:sz="0" w:space="0" w:color="auto"/>
            <w:left w:val="none" w:sz="0" w:space="0" w:color="auto"/>
            <w:bottom w:val="none" w:sz="0" w:space="0" w:color="auto"/>
            <w:right w:val="none" w:sz="0" w:space="0" w:color="auto"/>
          </w:divBdr>
          <w:divsChild>
            <w:div w:id="297732175">
              <w:marLeft w:val="0"/>
              <w:marRight w:val="5100"/>
              <w:marTop w:val="0"/>
              <w:marBottom w:val="0"/>
              <w:divBdr>
                <w:top w:val="none" w:sz="0" w:space="0" w:color="auto"/>
                <w:left w:val="none" w:sz="0" w:space="0" w:color="auto"/>
                <w:bottom w:val="none" w:sz="0" w:space="0" w:color="auto"/>
                <w:right w:val="none" w:sz="0" w:space="0" w:color="auto"/>
              </w:divBdr>
              <w:divsChild>
                <w:div w:id="1237590369">
                  <w:marLeft w:val="0"/>
                  <w:marRight w:val="0"/>
                  <w:marTop w:val="0"/>
                  <w:marBottom w:val="0"/>
                  <w:divBdr>
                    <w:top w:val="none" w:sz="0" w:space="0" w:color="auto"/>
                    <w:left w:val="none" w:sz="0" w:space="0" w:color="auto"/>
                    <w:bottom w:val="none" w:sz="0" w:space="0" w:color="auto"/>
                    <w:right w:val="none" w:sz="0" w:space="0" w:color="auto"/>
                  </w:divBdr>
                  <w:divsChild>
                    <w:div w:id="61342325">
                      <w:marLeft w:val="0"/>
                      <w:marRight w:val="0"/>
                      <w:marTop w:val="0"/>
                      <w:marBottom w:val="0"/>
                      <w:divBdr>
                        <w:top w:val="none" w:sz="0" w:space="0" w:color="auto"/>
                        <w:left w:val="none" w:sz="0" w:space="0" w:color="auto"/>
                        <w:bottom w:val="none" w:sz="0" w:space="0" w:color="auto"/>
                        <w:right w:val="none" w:sz="0" w:space="0" w:color="auto"/>
                      </w:divBdr>
                      <w:divsChild>
                        <w:div w:id="1503740386">
                          <w:marLeft w:val="0"/>
                          <w:marRight w:val="0"/>
                          <w:marTop w:val="0"/>
                          <w:marBottom w:val="0"/>
                          <w:divBdr>
                            <w:top w:val="none" w:sz="0" w:space="0" w:color="auto"/>
                            <w:left w:val="none" w:sz="0" w:space="0" w:color="auto"/>
                            <w:bottom w:val="none" w:sz="0" w:space="0" w:color="auto"/>
                            <w:right w:val="none" w:sz="0" w:space="0" w:color="auto"/>
                          </w:divBdr>
                          <w:divsChild>
                            <w:div w:id="798037746">
                              <w:marLeft w:val="0"/>
                              <w:marRight w:val="0"/>
                              <w:marTop w:val="0"/>
                              <w:marBottom w:val="0"/>
                              <w:divBdr>
                                <w:top w:val="none" w:sz="0" w:space="0" w:color="auto"/>
                                <w:left w:val="none" w:sz="0" w:space="0" w:color="auto"/>
                                <w:bottom w:val="none" w:sz="0" w:space="0" w:color="auto"/>
                                <w:right w:val="none" w:sz="0" w:space="0" w:color="auto"/>
                              </w:divBdr>
                              <w:divsChild>
                                <w:div w:id="337082691">
                                  <w:marLeft w:val="0"/>
                                  <w:marRight w:val="0"/>
                                  <w:marTop w:val="0"/>
                                  <w:marBottom w:val="0"/>
                                  <w:divBdr>
                                    <w:top w:val="none" w:sz="0" w:space="0" w:color="auto"/>
                                    <w:left w:val="none" w:sz="0" w:space="0" w:color="auto"/>
                                    <w:bottom w:val="none" w:sz="0" w:space="0" w:color="auto"/>
                                    <w:right w:val="none" w:sz="0" w:space="0" w:color="auto"/>
                                  </w:divBdr>
                                  <w:divsChild>
                                    <w:div w:id="10900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98827">
      <w:bodyDiv w:val="1"/>
      <w:marLeft w:val="0"/>
      <w:marRight w:val="0"/>
      <w:marTop w:val="0"/>
      <w:marBottom w:val="0"/>
      <w:divBdr>
        <w:top w:val="none" w:sz="0" w:space="0" w:color="auto"/>
        <w:left w:val="none" w:sz="0" w:space="0" w:color="auto"/>
        <w:bottom w:val="none" w:sz="0" w:space="0" w:color="auto"/>
        <w:right w:val="none" w:sz="0" w:space="0" w:color="auto"/>
      </w:divBdr>
    </w:div>
    <w:div w:id="609778356">
      <w:bodyDiv w:val="1"/>
      <w:marLeft w:val="0"/>
      <w:marRight w:val="0"/>
      <w:marTop w:val="0"/>
      <w:marBottom w:val="0"/>
      <w:divBdr>
        <w:top w:val="none" w:sz="0" w:space="0" w:color="auto"/>
        <w:left w:val="none" w:sz="0" w:space="0" w:color="auto"/>
        <w:bottom w:val="none" w:sz="0" w:space="0" w:color="auto"/>
        <w:right w:val="none" w:sz="0" w:space="0" w:color="auto"/>
      </w:divBdr>
      <w:divsChild>
        <w:div w:id="2062508974">
          <w:marLeft w:val="300"/>
          <w:marRight w:val="300"/>
          <w:marTop w:val="0"/>
          <w:marBottom w:val="0"/>
          <w:divBdr>
            <w:top w:val="none" w:sz="0" w:space="0" w:color="auto"/>
            <w:left w:val="none" w:sz="0" w:space="0" w:color="auto"/>
            <w:bottom w:val="none" w:sz="0" w:space="0" w:color="auto"/>
            <w:right w:val="none" w:sz="0" w:space="0" w:color="auto"/>
          </w:divBdr>
          <w:divsChild>
            <w:div w:id="1616407252">
              <w:marLeft w:val="0"/>
              <w:marRight w:val="5100"/>
              <w:marTop w:val="0"/>
              <w:marBottom w:val="0"/>
              <w:divBdr>
                <w:top w:val="none" w:sz="0" w:space="0" w:color="auto"/>
                <w:left w:val="none" w:sz="0" w:space="0" w:color="auto"/>
                <w:bottom w:val="none" w:sz="0" w:space="0" w:color="auto"/>
                <w:right w:val="none" w:sz="0" w:space="0" w:color="auto"/>
              </w:divBdr>
              <w:divsChild>
                <w:div w:id="828789505">
                  <w:marLeft w:val="0"/>
                  <w:marRight w:val="0"/>
                  <w:marTop w:val="0"/>
                  <w:marBottom w:val="0"/>
                  <w:divBdr>
                    <w:top w:val="none" w:sz="0" w:space="0" w:color="auto"/>
                    <w:left w:val="none" w:sz="0" w:space="0" w:color="auto"/>
                    <w:bottom w:val="none" w:sz="0" w:space="0" w:color="auto"/>
                    <w:right w:val="none" w:sz="0" w:space="0" w:color="auto"/>
                  </w:divBdr>
                  <w:divsChild>
                    <w:div w:id="2031098636">
                      <w:marLeft w:val="0"/>
                      <w:marRight w:val="0"/>
                      <w:marTop w:val="0"/>
                      <w:marBottom w:val="0"/>
                      <w:divBdr>
                        <w:top w:val="none" w:sz="0" w:space="0" w:color="auto"/>
                        <w:left w:val="none" w:sz="0" w:space="0" w:color="auto"/>
                        <w:bottom w:val="none" w:sz="0" w:space="0" w:color="auto"/>
                        <w:right w:val="none" w:sz="0" w:space="0" w:color="auto"/>
                      </w:divBdr>
                      <w:divsChild>
                        <w:div w:id="1595211909">
                          <w:marLeft w:val="0"/>
                          <w:marRight w:val="0"/>
                          <w:marTop w:val="0"/>
                          <w:marBottom w:val="0"/>
                          <w:divBdr>
                            <w:top w:val="none" w:sz="0" w:space="0" w:color="auto"/>
                            <w:left w:val="none" w:sz="0" w:space="0" w:color="auto"/>
                            <w:bottom w:val="none" w:sz="0" w:space="0" w:color="auto"/>
                            <w:right w:val="none" w:sz="0" w:space="0" w:color="auto"/>
                          </w:divBdr>
                          <w:divsChild>
                            <w:div w:id="1438333632">
                              <w:marLeft w:val="0"/>
                              <w:marRight w:val="0"/>
                              <w:marTop w:val="0"/>
                              <w:marBottom w:val="0"/>
                              <w:divBdr>
                                <w:top w:val="none" w:sz="0" w:space="0" w:color="auto"/>
                                <w:left w:val="none" w:sz="0" w:space="0" w:color="auto"/>
                                <w:bottom w:val="none" w:sz="0" w:space="0" w:color="auto"/>
                                <w:right w:val="none" w:sz="0" w:space="0" w:color="auto"/>
                              </w:divBdr>
                              <w:divsChild>
                                <w:div w:id="1649482249">
                                  <w:marLeft w:val="0"/>
                                  <w:marRight w:val="0"/>
                                  <w:marTop w:val="0"/>
                                  <w:marBottom w:val="0"/>
                                  <w:divBdr>
                                    <w:top w:val="none" w:sz="0" w:space="0" w:color="auto"/>
                                    <w:left w:val="none" w:sz="0" w:space="0" w:color="auto"/>
                                    <w:bottom w:val="none" w:sz="0" w:space="0" w:color="auto"/>
                                    <w:right w:val="none" w:sz="0" w:space="0" w:color="auto"/>
                                  </w:divBdr>
                                  <w:divsChild>
                                    <w:div w:id="1179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547476">
      <w:bodyDiv w:val="1"/>
      <w:marLeft w:val="0"/>
      <w:marRight w:val="0"/>
      <w:marTop w:val="0"/>
      <w:marBottom w:val="0"/>
      <w:divBdr>
        <w:top w:val="none" w:sz="0" w:space="0" w:color="auto"/>
        <w:left w:val="none" w:sz="0" w:space="0" w:color="auto"/>
        <w:bottom w:val="none" w:sz="0" w:space="0" w:color="auto"/>
        <w:right w:val="none" w:sz="0" w:space="0" w:color="auto"/>
      </w:divBdr>
      <w:divsChild>
        <w:div w:id="1638562752">
          <w:marLeft w:val="300"/>
          <w:marRight w:val="300"/>
          <w:marTop w:val="0"/>
          <w:marBottom w:val="0"/>
          <w:divBdr>
            <w:top w:val="none" w:sz="0" w:space="0" w:color="auto"/>
            <w:left w:val="none" w:sz="0" w:space="0" w:color="auto"/>
            <w:bottom w:val="none" w:sz="0" w:space="0" w:color="auto"/>
            <w:right w:val="none" w:sz="0" w:space="0" w:color="auto"/>
          </w:divBdr>
          <w:divsChild>
            <w:div w:id="30964390">
              <w:marLeft w:val="0"/>
              <w:marRight w:val="5100"/>
              <w:marTop w:val="0"/>
              <w:marBottom w:val="0"/>
              <w:divBdr>
                <w:top w:val="none" w:sz="0" w:space="0" w:color="auto"/>
                <w:left w:val="none" w:sz="0" w:space="0" w:color="auto"/>
                <w:bottom w:val="none" w:sz="0" w:space="0" w:color="auto"/>
                <w:right w:val="none" w:sz="0" w:space="0" w:color="auto"/>
              </w:divBdr>
              <w:divsChild>
                <w:div w:id="1044208573">
                  <w:marLeft w:val="0"/>
                  <w:marRight w:val="0"/>
                  <w:marTop w:val="0"/>
                  <w:marBottom w:val="0"/>
                  <w:divBdr>
                    <w:top w:val="none" w:sz="0" w:space="0" w:color="auto"/>
                    <w:left w:val="none" w:sz="0" w:space="0" w:color="auto"/>
                    <w:bottom w:val="none" w:sz="0" w:space="0" w:color="auto"/>
                    <w:right w:val="none" w:sz="0" w:space="0" w:color="auto"/>
                  </w:divBdr>
                  <w:divsChild>
                    <w:div w:id="434641566">
                      <w:marLeft w:val="0"/>
                      <w:marRight w:val="0"/>
                      <w:marTop w:val="0"/>
                      <w:marBottom w:val="0"/>
                      <w:divBdr>
                        <w:top w:val="none" w:sz="0" w:space="0" w:color="auto"/>
                        <w:left w:val="none" w:sz="0" w:space="0" w:color="auto"/>
                        <w:bottom w:val="none" w:sz="0" w:space="0" w:color="auto"/>
                        <w:right w:val="none" w:sz="0" w:space="0" w:color="auto"/>
                      </w:divBdr>
                      <w:divsChild>
                        <w:div w:id="2126847049">
                          <w:marLeft w:val="0"/>
                          <w:marRight w:val="0"/>
                          <w:marTop w:val="0"/>
                          <w:marBottom w:val="0"/>
                          <w:divBdr>
                            <w:top w:val="none" w:sz="0" w:space="0" w:color="auto"/>
                            <w:left w:val="none" w:sz="0" w:space="0" w:color="auto"/>
                            <w:bottom w:val="none" w:sz="0" w:space="0" w:color="auto"/>
                            <w:right w:val="none" w:sz="0" w:space="0" w:color="auto"/>
                          </w:divBdr>
                          <w:divsChild>
                            <w:div w:id="224528715">
                              <w:marLeft w:val="0"/>
                              <w:marRight w:val="0"/>
                              <w:marTop w:val="0"/>
                              <w:marBottom w:val="0"/>
                              <w:divBdr>
                                <w:top w:val="none" w:sz="0" w:space="0" w:color="auto"/>
                                <w:left w:val="none" w:sz="0" w:space="0" w:color="auto"/>
                                <w:bottom w:val="none" w:sz="0" w:space="0" w:color="auto"/>
                                <w:right w:val="none" w:sz="0" w:space="0" w:color="auto"/>
                              </w:divBdr>
                              <w:divsChild>
                                <w:div w:id="741297972">
                                  <w:marLeft w:val="0"/>
                                  <w:marRight w:val="0"/>
                                  <w:marTop w:val="0"/>
                                  <w:marBottom w:val="0"/>
                                  <w:divBdr>
                                    <w:top w:val="none" w:sz="0" w:space="0" w:color="auto"/>
                                    <w:left w:val="none" w:sz="0" w:space="0" w:color="auto"/>
                                    <w:bottom w:val="none" w:sz="0" w:space="0" w:color="auto"/>
                                    <w:right w:val="none" w:sz="0" w:space="0" w:color="auto"/>
                                  </w:divBdr>
                                  <w:divsChild>
                                    <w:div w:id="646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15040">
      <w:bodyDiv w:val="1"/>
      <w:marLeft w:val="0"/>
      <w:marRight w:val="0"/>
      <w:marTop w:val="0"/>
      <w:marBottom w:val="0"/>
      <w:divBdr>
        <w:top w:val="none" w:sz="0" w:space="0" w:color="auto"/>
        <w:left w:val="none" w:sz="0" w:space="0" w:color="auto"/>
        <w:bottom w:val="none" w:sz="0" w:space="0" w:color="auto"/>
        <w:right w:val="none" w:sz="0" w:space="0" w:color="auto"/>
      </w:divBdr>
    </w:div>
    <w:div w:id="996878285">
      <w:bodyDiv w:val="1"/>
      <w:marLeft w:val="0"/>
      <w:marRight w:val="0"/>
      <w:marTop w:val="0"/>
      <w:marBottom w:val="0"/>
      <w:divBdr>
        <w:top w:val="none" w:sz="0" w:space="0" w:color="auto"/>
        <w:left w:val="none" w:sz="0" w:space="0" w:color="auto"/>
        <w:bottom w:val="none" w:sz="0" w:space="0" w:color="auto"/>
        <w:right w:val="none" w:sz="0" w:space="0" w:color="auto"/>
      </w:divBdr>
    </w:div>
    <w:div w:id="1124346741">
      <w:bodyDiv w:val="1"/>
      <w:marLeft w:val="0"/>
      <w:marRight w:val="0"/>
      <w:marTop w:val="0"/>
      <w:marBottom w:val="0"/>
      <w:divBdr>
        <w:top w:val="none" w:sz="0" w:space="0" w:color="auto"/>
        <w:left w:val="none" w:sz="0" w:space="0" w:color="auto"/>
        <w:bottom w:val="none" w:sz="0" w:space="0" w:color="auto"/>
        <w:right w:val="none" w:sz="0" w:space="0" w:color="auto"/>
      </w:divBdr>
    </w:div>
    <w:div w:id="1523282460">
      <w:bodyDiv w:val="1"/>
      <w:marLeft w:val="0"/>
      <w:marRight w:val="0"/>
      <w:marTop w:val="0"/>
      <w:marBottom w:val="0"/>
      <w:divBdr>
        <w:top w:val="none" w:sz="0" w:space="0" w:color="auto"/>
        <w:left w:val="none" w:sz="0" w:space="0" w:color="auto"/>
        <w:bottom w:val="none" w:sz="0" w:space="0" w:color="auto"/>
        <w:right w:val="none" w:sz="0" w:space="0" w:color="auto"/>
      </w:divBdr>
      <w:divsChild>
        <w:div w:id="2064674282">
          <w:marLeft w:val="300"/>
          <w:marRight w:val="300"/>
          <w:marTop w:val="0"/>
          <w:marBottom w:val="0"/>
          <w:divBdr>
            <w:top w:val="none" w:sz="0" w:space="0" w:color="auto"/>
            <w:left w:val="none" w:sz="0" w:space="0" w:color="auto"/>
            <w:bottom w:val="none" w:sz="0" w:space="0" w:color="auto"/>
            <w:right w:val="none" w:sz="0" w:space="0" w:color="auto"/>
          </w:divBdr>
          <w:divsChild>
            <w:div w:id="246808749">
              <w:marLeft w:val="0"/>
              <w:marRight w:val="5100"/>
              <w:marTop w:val="0"/>
              <w:marBottom w:val="0"/>
              <w:divBdr>
                <w:top w:val="none" w:sz="0" w:space="0" w:color="auto"/>
                <w:left w:val="none" w:sz="0" w:space="0" w:color="auto"/>
                <w:bottom w:val="none" w:sz="0" w:space="0" w:color="auto"/>
                <w:right w:val="none" w:sz="0" w:space="0" w:color="auto"/>
              </w:divBdr>
              <w:divsChild>
                <w:div w:id="696541635">
                  <w:marLeft w:val="0"/>
                  <w:marRight w:val="0"/>
                  <w:marTop w:val="0"/>
                  <w:marBottom w:val="0"/>
                  <w:divBdr>
                    <w:top w:val="none" w:sz="0" w:space="0" w:color="auto"/>
                    <w:left w:val="none" w:sz="0" w:space="0" w:color="auto"/>
                    <w:bottom w:val="none" w:sz="0" w:space="0" w:color="auto"/>
                    <w:right w:val="none" w:sz="0" w:space="0" w:color="auto"/>
                  </w:divBdr>
                  <w:divsChild>
                    <w:div w:id="76901211">
                      <w:marLeft w:val="0"/>
                      <w:marRight w:val="0"/>
                      <w:marTop w:val="0"/>
                      <w:marBottom w:val="0"/>
                      <w:divBdr>
                        <w:top w:val="none" w:sz="0" w:space="0" w:color="auto"/>
                        <w:left w:val="none" w:sz="0" w:space="0" w:color="auto"/>
                        <w:bottom w:val="none" w:sz="0" w:space="0" w:color="auto"/>
                        <w:right w:val="none" w:sz="0" w:space="0" w:color="auto"/>
                      </w:divBdr>
                      <w:divsChild>
                        <w:div w:id="1549414784">
                          <w:marLeft w:val="0"/>
                          <w:marRight w:val="0"/>
                          <w:marTop w:val="0"/>
                          <w:marBottom w:val="0"/>
                          <w:divBdr>
                            <w:top w:val="none" w:sz="0" w:space="0" w:color="auto"/>
                            <w:left w:val="none" w:sz="0" w:space="0" w:color="auto"/>
                            <w:bottom w:val="none" w:sz="0" w:space="0" w:color="auto"/>
                            <w:right w:val="none" w:sz="0" w:space="0" w:color="auto"/>
                          </w:divBdr>
                          <w:divsChild>
                            <w:div w:id="1687830762">
                              <w:marLeft w:val="0"/>
                              <w:marRight w:val="0"/>
                              <w:marTop w:val="0"/>
                              <w:marBottom w:val="0"/>
                              <w:divBdr>
                                <w:top w:val="none" w:sz="0" w:space="0" w:color="auto"/>
                                <w:left w:val="none" w:sz="0" w:space="0" w:color="auto"/>
                                <w:bottom w:val="none" w:sz="0" w:space="0" w:color="auto"/>
                                <w:right w:val="none" w:sz="0" w:space="0" w:color="auto"/>
                              </w:divBdr>
                              <w:divsChild>
                                <w:div w:id="2001889513">
                                  <w:marLeft w:val="0"/>
                                  <w:marRight w:val="0"/>
                                  <w:marTop w:val="0"/>
                                  <w:marBottom w:val="0"/>
                                  <w:divBdr>
                                    <w:top w:val="none" w:sz="0" w:space="0" w:color="auto"/>
                                    <w:left w:val="none" w:sz="0" w:space="0" w:color="auto"/>
                                    <w:bottom w:val="none" w:sz="0" w:space="0" w:color="auto"/>
                                    <w:right w:val="none" w:sz="0" w:space="0" w:color="auto"/>
                                  </w:divBdr>
                                  <w:divsChild>
                                    <w:div w:id="2058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Griffin</dc:creator>
  <cp:lastModifiedBy>Lawrence Bone</cp:lastModifiedBy>
  <cp:revision>4</cp:revision>
  <cp:lastPrinted>2019-08-19T14:07:00Z</cp:lastPrinted>
  <dcterms:created xsi:type="dcterms:W3CDTF">2019-09-11T08:27:00Z</dcterms:created>
  <dcterms:modified xsi:type="dcterms:W3CDTF">2020-02-19T11:46:00Z</dcterms:modified>
</cp:coreProperties>
</file>